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6A56" w14:textId="2DF000E0" w:rsidR="00E4085A" w:rsidRPr="00DF5B94" w:rsidRDefault="00945032" w:rsidP="00E4085A">
      <w:pPr>
        <w:jc w:val="left"/>
        <w:rPr>
          <w:rFonts w:cstheme="minorHAnsi"/>
          <w:b/>
          <w:bCs/>
          <w:sz w:val="36"/>
          <w:szCs w:val="36"/>
        </w:rPr>
      </w:pPr>
      <w:r w:rsidRPr="00DF5B94">
        <w:rPr>
          <w:noProof/>
          <w:sz w:val="36"/>
          <w:szCs w:val="36"/>
          <w:lang w:eastAsia="en-GB"/>
        </w:rPr>
        <w:drawing>
          <wp:anchor distT="0" distB="0" distL="114300" distR="114300" simplePos="0" relativeHeight="251659264" behindDoc="0" locked="0" layoutInCell="1" allowOverlap="1" wp14:anchorId="476D20F5" wp14:editId="0B364948">
            <wp:simplePos x="0" y="0"/>
            <wp:positionH relativeFrom="margin">
              <wp:posOffset>4381500</wp:posOffset>
            </wp:positionH>
            <wp:positionV relativeFrom="margin">
              <wp:posOffset>-67310</wp:posOffset>
            </wp:positionV>
            <wp:extent cx="1809750" cy="1197610"/>
            <wp:effectExtent l="0" t="0" r="0" b="2540"/>
            <wp:wrapSquare wrapText="bothSides"/>
            <wp:docPr id="4" name="Picture 4" descr="C:\Documents and Settings\D S\Desktop\SAV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 S\Desktop\SAVE0006.JPG"/>
                    <pic:cNvPicPr>
                      <a:picLocks noChangeAspect="1" noChangeArrowheads="1"/>
                    </pic:cNvPicPr>
                  </pic:nvPicPr>
                  <pic:blipFill>
                    <a:blip r:embed="rId7" cstate="print">
                      <a:extLst>
                        <a:ext uri="{28A0092B-C50C-407E-A947-70E740481C1C}">
                          <a14:useLocalDpi xmlns:a14="http://schemas.microsoft.com/office/drawing/2010/main" val="0"/>
                        </a:ext>
                      </a:extLst>
                    </a:blip>
                    <a:srcRect l="4726" r="48972" b="76527"/>
                    <a:stretch>
                      <a:fillRect/>
                    </a:stretch>
                  </pic:blipFill>
                  <pic:spPr bwMode="auto">
                    <a:xfrm>
                      <a:off x="0" y="0"/>
                      <a:ext cx="1809750" cy="1197610"/>
                    </a:xfrm>
                    <a:prstGeom prst="rect">
                      <a:avLst/>
                    </a:prstGeom>
                    <a:noFill/>
                  </pic:spPr>
                </pic:pic>
              </a:graphicData>
            </a:graphic>
            <wp14:sizeRelH relativeFrom="page">
              <wp14:pctWidth>0</wp14:pctWidth>
            </wp14:sizeRelH>
            <wp14:sizeRelV relativeFrom="page">
              <wp14:pctHeight>0</wp14:pctHeight>
            </wp14:sizeRelV>
          </wp:anchor>
        </w:drawing>
      </w:r>
      <w:r w:rsidR="00E4085A" w:rsidRPr="00DF5B94">
        <w:rPr>
          <w:rFonts w:cstheme="minorHAnsi"/>
          <w:b/>
          <w:bCs/>
          <w:sz w:val="36"/>
          <w:szCs w:val="36"/>
        </w:rPr>
        <w:t xml:space="preserve">Wickham Society    </w:t>
      </w:r>
    </w:p>
    <w:p w14:paraId="259026E2" w14:textId="31C8BB83" w:rsidR="00E4085A" w:rsidRPr="00910093" w:rsidRDefault="00E4085A" w:rsidP="00E4085A">
      <w:pPr>
        <w:jc w:val="left"/>
        <w:rPr>
          <w:rFonts w:cstheme="minorHAnsi"/>
          <w:b/>
          <w:bCs/>
          <w:sz w:val="16"/>
          <w:szCs w:val="16"/>
        </w:rPr>
      </w:pPr>
    </w:p>
    <w:p w14:paraId="26306413" w14:textId="1B92C5AB" w:rsidR="00E4085A" w:rsidRPr="00286B0C" w:rsidRDefault="00E4085A" w:rsidP="00E4085A">
      <w:pPr>
        <w:jc w:val="both"/>
        <w:rPr>
          <w:b/>
          <w:sz w:val="32"/>
          <w:szCs w:val="32"/>
        </w:rPr>
      </w:pPr>
      <w:r w:rsidRPr="00286B0C">
        <w:rPr>
          <w:b/>
          <w:sz w:val="32"/>
          <w:szCs w:val="32"/>
        </w:rPr>
        <w:t xml:space="preserve">Annual General Meeting Minutes </w:t>
      </w:r>
      <w:r>
        <w:rPr>
          <w:b/>
          <w:sz w:val="32"/>
          <w:szCs w:val="32"/>
        </w:rPr>
        <w:t>2026</w:t>
      </w:r>
    </w:p>
    <w:p w14:paraId="297BFAAE" w14:textId="77777777" w:rsidR="00E4085A" w:rsidRPr="00113F0F" w:rsidRDefault="00E4085A" w:rsidP="00E4085A">
      <w:pPr>
        <w:jc w:val="both"/>
        <w:rPr>
          <w:sz w:val="16"/>
          <w:szCs w:val="16"/>
        </w:rPr>
      </w:pPr>
    </w:p>
    <w:p w14:paraId="144CAD85" w14:textId="34E26986" w:rsidR="00E4085A" w:rsidRDefault="00E4085A" w:rsidP="00E4085A">
      <w:pPr>
        <w:jc w:val="both"/>
      </w:pPr>
      <w:r>
        <w:t>Date: Tuesday 14 April 2026 at 7.30pm</w:t>
      </w:r>
    </w:p>
    <w:p w14:paraId="5CA985A8" w14:textId="77777777" w:rsidR="00E4085A" w:rsidRDefault="00E4085A" w:rsidP="00E4085A">
      <w:pPr>
        <w:jc w:val="both"/>
      </w:pPr>
      <w:r>
        <w:t>Location: Wickham Community Centre</w:t>
      </w:r>
    </w:p>
    <w:p w14:paraId="6E795CAA" w14:textId="77777777" w:rsidR="00E4085A" w:rsidRPr="00920204" w:rsidRDefault="00E4085A" w:rsidP="00E4085A">
      <w:pPr>
        <w:jc w:val="both"/>
        <w:rPr>
          <w:b/>
          <w:sz w:val="16"/>
          <w:szCs w:val="16"/>
        </w:rPr>
      </w:pPr>
    </w:p>
    <w:p w14:paraId="40E4CF68" w14:textId="77777777" w:rsidR="00E4085A" w:rsidRPr="00C97AED" w:rsidRDefault="00E4085A" w:rsidP="00E4085A">
      <w:pPr>
        <w:jc w:val="both"/>
        <w:rPr>
          <w:b/>
        </w:rPr>
      </w:pPr>
      <w:r w:rsidRPr="00C97AED">
        <w:rPr>
          <w:b/>
        </w:rPr>
        <w:t>Apologies for absence</w:t>
      </w:r>
    </w:p>
    <w:p w14:paraId="04513C11" w14:textId="38DF63BE" w:rsidR="00125C58" w:rsidRPr="006851CC" w:rsidRDefault="00E4085A" w:rsidP="00E4085A">
      <w:pPr>
        <w:jc w:val="both"/>
        <w:rPr>
          <w:rFonts w:cstheme="minorHAnsi"/>
        </w:rPr>
      </w:pPr>
      <w:r>
        <w:t xml:space="preserve">31 </w:t>
      </w:r>
      <w:r w:rsidRPr="00730789">
        <w:t xml:space="preserve">members and </w:t>
      </w:r>
      <w:r>
        <w:t xml:space="preserve">3 </w:t>
      </w:r>
      <w:r w:rsidRPr="00730789">
        <w:t>visitor</w:t>
      </w:r>
      <w:r>
        <w:t>s</w:t>
      </w:r>
      <w:r w:rsidRPr="00730789">
        <w:t xml:space="preserve"> were present. Apologies were received from </w:t>
      </w:r>
      <w:r w:rsidRPr="006F7269">
        <w:rPr>
          <w:rFonts w:cstheme="minorHAnsi"/>
        </w:rPr>
        <w:t xml:space="preserve">Vanessa Burlingham, Sue Pittam, </w:t>
      </w:r>
      <w:r w:rsidR="00125C58" w:rsidRPr="006851CC">
        <w:rPr>
          <w:rFonts w:cstheme="minorHAnsi"/>
        </w:rPr>
        <w:t xml:space="preserve">Mike Hollis, Chris Dore, Robert Broad, Andrew and Alison Forbes, Geoff Philpotts and Jane Gawne, Martin Rogers, Daphne and Charles Gale, Steve and Margaret Spencer, Pete and Anthea Burke, Robert Goulson, Chris and Melissa Judd, </w:t>
      </w:r>
      <w:r w:rsidR="006851CC">
        <w:rPr>
          <w:rFonts w:cstheme="minorHAnsi"/>
        </w:rPr>
        <w:t xml:space="preserve">Chris Hoare </w:t>
      </w:r>
      <w:r w:rsidR="00125C58" w:rsidRPr="006851CC">
        <w:rPr>
          <w:rFonts w:cstheme="minorHAnsi"/>
        </w:rPr>
        <w:t>and Ted Kemp</w:t>
      </w:r>
      <w:r w:rsidR="00C37D6B">
        <w:rPr>
          <w:rFonts w:cstheme="minorHAnsi"/>
        </w:rPr>
        <w:t>.</w:t>
      </w:r>
    </w:p>
    <w:p w14:paraId="7F18F7AC" w14:textId="77777777" w:rsidR="00E4085A" w:rsidRPr="00A74A53" w:rsidRDefault="00E4085A" w:rsidP="00E4085A">
      <w:pPr>
        <w:spacing w:after="60"/>
        <w:jc w:val="both"/>
        <w:rPr>
          <w:b/>
          <w:sz w:val="16"/>
          <w:szCs w:val="16"/>
        </w:rPr>
      </w:pPr>
    </w:p>
    <w:p w14:paraId="7BE27026" w14:textId="77777777" w:rsidR="00E4085A" w:rsidRDefault="00E4085A" w:rsidP="00E4085A">
      <w:pPr>
        <w:jc w:val="both"/>
      </w:pPr>
      <w:r>
        <w:rPr>
          <w:b/>
        </w:rPr>
        <w:t>Adoption of previous minutes</w:t>
      </w:r>
    </w:p>
    <w:p w14:paraId="38F56CF3" w14:textId="4EEAD3F5" w:rsidR="00E4085A" w:rsidRDefault="00E4085A" w:rsidP="00E4085A">
      <w:pPr>
        <w:jc w:val="both"/>
      </w:pPr>
      <w:r w:rsidRPr="00730789">
        <w:t>The minutes of the 202</w:t>
      </w:r>
      <w:r w:rsidR="00BC7441">
        <w:t>5</w:t>
      </w:r>
      <w:r w:rsidRPr="00730789">
        <w:t xml:space="preserve"> AGM which had been circulated to members in advance were adopted.  Proposed by</w:t>
      </w:r>
      <w:r>
        <w:t xml:space="preserve"> </w:t>
      </w:r>
      <w:r w:rsidR="001A6F49">
        <w:t>Rosemary Crane</w:t>
      </w:r>
      <w:r>
        <w:t xml:space="preserve"> and seconded by </w:t>
      </w:r>
      <w:r w:rsidR="003D0F96">
        <w:t>Jane Turner</w:t>
      </w:r>
      <w:r>
        <w:t>.   There were no matters arising.</w:t>
      </w:r>
    </w:p>
    <w:p w14:paraId="3A616598" w14:textId="77777777" w:rsidR="00E4085A" w:rsidRPr="00A74A53" w:rsidRDefault="00E4085A" w:rsidP="00E4085A">
      <w:pPr>
        <w:spacing w:after="60"/>
        <w:jc w:val="both"/>
        <w:rPr>
          <w:b/>
          <w:sz w:val="16"/>
          <w:szCs w:val="16"/>
        </w:rPr>
      </w:pPr>
    </w:p>
    <w:p w14:paraId="45833E5A" w14:textId="77777777" w:rsidR="00E4085A" w:rsidRDefault="00E4085A" w:rsidP="00E4085A">
      <w:pPr>
        <w:jc w:val="both"/>
        <w:rPr>
          <w:b/>
        </w:rPr>
      </w:pPr>
      <w:r>
        <w:rPr>
          <w:b/>
        </w:rPr>
        <w:t>Chairman’s address</w:t>
      </w:r>
    </w:p>
    <w:p w14:paraId="56FBDD22" w14:textId="77777777" w:rsidR="00E4085A" w:rsidRPr="00957576" w:rsidRDefault="00E4085A" w:rsidP="00E4085A">
      <w:pPr>
        <w:jc w:val="left"/>
        <w:rPr>
          <w:rFonts w:cstheme="minorHAnsi"/>
        </w:rPr>
      </w:pPr>
      <w:r w:rsidRPr="00957576">
        <w:rPr>
          <w:rFonts w:cstheme="minorHAnsi"/>
        </w:rPr>
        <w:t xml:space="preserve">Prior to the meeting the Chairman and Treasurer’s reports had been circulated to members – as detailed below.  </w:t>
      </w:r>
    </w:p>
    <w:p w14:paraId="651407F1" w14:textId="77777777" w:rsidR="00421261" w:rsidRDefault="00421261" w:rsidP="003A30ED">
      <w:pPr>
        <w:jc w:val="left"/>
        <w:rPr>
          <w:rFonts w:cstheme="minorHAnsi"/>
          <w:b/>
          <w:bCs/>
        </w:rPr>
      </w:pPr>
    </w:p>
    <w:p w14:paraId="718CC899" w14:textId="23131E7D" w:rsidR="003A30ED" w:rsidRPr="00FF3F9E" w:rsidRDefault="003A30ED" w:rsidP="003A30ED">
      <w:pPr>
        <w:jc w:val="left"/>
        <w:rPr>
          <w:rFonts w:cstheme="minorHAnsi"/>
          <w:b/>
          <w:bCs/>
          <w:sz w:val="28"/>
          <w:szCs w:val="28"/>
        </w:rPr>
      </w:pPr>
      <w:r w:rsidRPr="00FF3F9E">
        <w:rPr>
          <w:rFonts w:cstheme="minorHAnsi"/>
          <w:b/>
          <w:bCs/>
          <w:sz w:val="28"/>
          <w:szCs w:val="28"/>
        </w:rPr>
        <w:t>Chairman’s Report for 202</w:t>
      </w:r>
      <w:r w:rsidR="00724B28">
        <w:rPr>
          <w:rFonts w:cstheme="minorHAnsi"/>
          <w:b/>
          <w:bCs/>
          <w:sz w:val="28"/>
          <w:szCs w:val="28"/>
        </w:rPr>
        <w:t>5</w:t>
      </w:r>
    </w:p>
    <w:p w14:paraId="40F887A0" w14:textId="2E96DAC5" w:rsidR="003A30ED" w:rsidRPr="00957576" w:rsidRDefault="003A30ED" w:rsidP="003A30ED">
      <w:pPr>
        <w:jc w:val="left"/>
        <w:rPr>
          <w:rFonts w:cstheme="minorHAnsi"/>
        </w:rPr>
      </w:pPr>
      <w:r w:rsidRPr="00957576">
        <w:rPr>
          <w:rFonts w:cstheme="minorHAnsi"/>
        </w:rPr>
        <w:t>In 202</w:t>
      </w:r>
      <w:r w:rsidR="00724B28">
        <w:rPr>
          <w:rFonts w:cstheme="minorHAnsi"/>
        </w:rPr>
        <w:t>5</w:t>
      </w:r>
      <w:r w:rsidRPr="00957576">
        <w:rPr>
          <w:rFonts w:cstheme="minorHAnsi"/>
        </w:rPr>
        <w:t>, the committee comprised of:</w:t>
      </w:r>
    </w:p>
    <w:p w14:paraId="1977CA49" w14:textId="77777777" w:rsidR="003A30ED" w:rsidRPr="00957576" w:rsidRDefault="003A30ED" w:rsidP="003A30ED">
      <w:pPr>
        <w:ind w:left="720"/>
        <w:jc w:val="left"/>
        <w:rPr>
          <w:rFonts w:cstheme="minorHAnsi"/>
        </w:rPr>
      </w:pPr>
      <w:r w:rsidRPr="00957576">
        <w:rPr>
          <w:rFonts w:cstheme="minorHAnsi"/>
        </w:rPr>
        <w:t>Chair: Wendy Greenish</w:t>
      </w:r>
    </w:p>
    <w:p w14:paraId="23981F19" w14:textId="77777777" w:rsidR="003A30ED" w:rsidRPr="00957576" w:rsidRDefault="003A30ED" w:rsidP="003A30ED">
      <w:pPr>
        <w:ind w:left="720"/>
        <w:jc w:val="left"/>
        <w:rPr>
          <w:rFonts w:cstheme="minorHAnsi"/>
        </w:rPr>
      </w:pPr>
      <w:r w:rsidRPr="00957576">
        <w:rPr>
          <w:rFonts w:cstheme="minorHAnsi"/>
        </w:rPr>
        <w:t>Vice Chair: Paul Burlingham</w:t>
      </w:r>
    </w:p>
    <w:p w14:paraId="1DEDCDFD" w14:textId="6C537887" w:rsidR="003A30ED" w:rsidRPr="00957576" w:rsidRDefault="003A30ED" w:rsidP="003A30ED">
      <w:pPr>
        <w:ind w:left="720"/>
        <w:jc w:val="left"/>
        <w:rPr>
          <w:rFonts w:cstheme="minorHAnsi"/>
        </w:rPr>
      </w:pPr>
      <w:r w:rsidRPr="00957576">
        <w:rPr>
          <w:rFonts w:cstheme="minorHAnsi"/>
        </w:rPr>
        <w:t xml:space="preserve">Treasurer: </w:t>
      </w:r>
      <w:r w:rsidR="006E0C59">
        <w:rPr>
          <w:rFonts w:cstheme="minorHAnsi"/>
        </w:rPr>
        <w:t>Brian Oswald</w:t>
      </w:r>
    </w:p>
    <w:p w14:paraId="47041676" w14:textId="1B227648" w:rsidR="003A30ED" w:rsidRPr="00957576" w:rsidRDefault="003A30ED" w:rsidP="003A30ED">
      <w:pPr>
        <w:ind w:left="720"/>
        <w:jc w:val="left"/>
        <w:rPr>
          <w:rFonts w:cstheme="minorHAnsi"/>
        </w:rPr>
      </w:pPr>
      <w:r w:rsidRPr="00957576">
        <w:rPr>
          <w:rFonts w:cstheme="minorHAnsi"/>
        </w:rPr>
        <w:t xml:space="preserve">Secretary: </w:t>
      </w:r>
      <w:r w:rsidR="00724B28">
        <w:rPr>
          <w:rFonts w:cstheme="minorHAnsi"/>
        </w:rPr>
        <w:t>vacant</w:t>
      </w:r>
    </w:p>
    <w:p w14:paraId="02DE8583" w14:textId="6538BD74" w:rsidR="003A30ED" w:rsidRPr="00957576" w:rsidRDefault="003A30ED" w:rsidP="003A30ED">
      <w:pPr>
        <w:ind w:left="720"/>
        <w:jc w:val="left"/>
        <w:rPr>
          <w:rFonts w:cstheme="minorHAnsi"/>
        </w:rPr>
      </w:pPr>
      <w:r w:rsidRPr="00957576">
        <w:rPr>
          <w:rFonts w:cstheme="minorHAnsi"/>
        </w:rPr>
        <w:t>Committee members: Jane Turner, David Peters</w:t>
      </w:r>
    </w:p>
    <w:p w14:paraId="2500081D" w14:textId="77777777" w:rsidR="00421261" w:rsidRPr="00083A1F" w:rsidRDefault="00421261" w:rsidP="003A30ED">
      <w:pPr>
        <w:jc w:val="left"/>
        <w:rPr>
          <w:rFonts w:cstheme="minorHAnsi"/>
          <w:sz w:val="16"/>
          <w:szCs w:val="16"/>
        </w:rPr>
      </w:pPr>
    </w:p>
    <w:p w14:paraId="2DB4A17F" w14:textId="0899B976" w:rsidR="003A30ED" w:rsidRPr="000051F0" w:rsidRDefault="003A30ED" w:rsidP="003A30ED">
      <w:pPr>
        <w:jc w:val="left"/>
        <w:rPr>
          <w:rFonts w:cstheme="minorHAnsi"/>
        </w:rPr>
      </w:pPr>
      <w:r w:rsidRPr="000051F0">
        <w:rPr>
          <w:rFonts w:cstheme="minorHAnsi"/>
        </w:rPr>
        <w:t>During the year, the committee</w:t>
      </w:r>
      <w:r w:rsidR="00EE75FE" w:rsidRPr="000051F0">
        <w:rPr>
          <w:rFonts w:cstheme="minorHAnsi"/>
        </w:rPr>
        <w:t xml:space="preserve"> has</w:t>
      </w:r>
      <w:r w:rsidRPr="000051F0">
        <w:rPr>
          <w:rFonts w:cstheme="minorHAnsi"/>
        </w:rPr>
        <w:t xml:space="preserve"> met</w:t>
      </w:r>
      <w:r w:rsidR="00D80B10" w:rsidRPr="000051F0">
        <w:rPr>
          <w:rFonts w:cstheme="minorHAnsi"/>
        </w:rPr>
        <w:t xml:space="preserve"> both in person and virtually</w:t>
      </w:r>
      <w:r w:rsidRPr="000051F0">
        <w:rPr>
          <w:rFonts w:cstheme="minorHAnsi"/>
        </w:rPr>
        <w:t xml:space="preserve"> to consider future meeting arrangements and programmes, planning concerns and issues and feedback from committee members from any external meetings or events</w:t>
      </w:r>
      <w:r w:rsidR="00D80B10" w:rsidRPr="000051F0">
        <w:rPr>
          <w:rFonts w:cstheme="minorHAnsi"/>
        </w:rPr>
        <w:t xml:space="preserve"> attended</w:t>
      </w:r>
      <w:r w:rsidRPr="000051F0">
        <w:rPr>
          <w:rFonts w:cstheme="minorHAnsi"/>
        </w:rPr>
        <w:t xml:space="preserve"> relating to the Society’s purpose and activities.</w:t>
      </w:r>
    </w:p>
    <w:p w14:paraId="05A453BE" w14:textId="77777777" w:rsidR="003A30ED" w:rsidRPr="000051F0" w:rsidRDefault="003A30ED" w:rsidP="003A30ED">
      <w:pPr>
        <w:jc w:val="left"/>
        <w:rPr>
          <w:rFonts w:cstheme="minorHAnsi"/>
          <w:b/>
          <w:bCs/>
        </w:rPr>
      </w:pPr>
    </w:p>
    <w:p w14:paraId="0C2D58E6" w14:textId="77777777" w:rsidR="003A30ED" w:rsidRPr="000051F0" w:rsidRDefault="003A30ED" w:rsidP="003A30ED">
      <w:pPr>
        <w:jc w:val="left"/>
        <w:rPr>
          <w:rFonts w:cstheme="minorHAnsi"/>
          <w:i/>
          <w:iCs/>
        </w:rPr>
      </w:pPr>
      <w:r w:rsidRPr="000051F0">
        <w:rPr>
          <w:rFonts w:cstheme="minorHAnsi"/>
          <w:i/>
          <w:iCs/>
        </w:rPr>
        <w:t xml:space="preserve">Society meetings </w:t>
      </w:r>
    </w:p>
    <w:p w14:paraId="60758206" w14:textId="7DA82076" w:rsidR="00F4660F" w:rsidRPr="000051F0" w:rsidRDefault="003A30ED" w:rsidP="00F4660F">
      <w:pPr>
        <w:jc w:val="both"/>
        <w:rPr>
          <w:rFonts w:eastAsia="Times New Roman" w:cs="Calibri"/>
          <w:color w:val="000000"/>
          <w:lang w:eastAsia="en-GB"/>
        </w:rPr>
      </w:pPr>
      <w:r w:rsidRPr="000051F0">
        <w:rPr>
          <w:rFonts w:cstheme="minorHAnsi"/>
        </w:rPr>
        <w:t>A variety of topics were presented to members</w:t>
      </w:r>
      <w:r w:rsidR="004B1F97" w:rsidRPr="000051F0">
        <w:rPr>
          <w:rFonts w:cstheme="minorHAnsi"/>
        </w:rPr>
        <w:t xml:space="preserve"> at our meetings</w:t>
      </w:r>
      <w:r w:rsidRPr="000051F0">
        <w:rPr>
          <w:rFonts w:cstheme="minorHAnsi"/>
        </w:rPr>
        <w:t xml:space="preserve"> during </w:t>
      </w:r>
      <w:r w:rsidR="00000828" w:rsidRPr="000051F0">
        <w:rPr>
          <w:rFonts w:cstheme="minorHAnsi"/>
        </w:rPr>
        <w:t>202</w:t>
      </w:r>
      <w:r w:rsidR="003815F7" w:rsidRPr="000051F0">
        <w:rPr>
          <w:rFonts w:cstheme="minorHAnsi"/>
        </w:rPr>
        <w:t>5</w:t>
      </w:r>
      <w:r w:rsidRPr="000051F0">
        <w:rPr>
          <w:rFonts w:cstheme="minorHAnsi"/>
        </w:rPr>
        <w:t xml:space="preserve">.  In March, </w:t>
      </w:r>
      <w:r w:rsidR="00BE6CD3" w:rsidRPr="000051F0">
        <w:t xml:space="preserve">members enjoyed </w:t>
      </w:r>
      <w:r w:rsidR="00B037EE" w:rsidRPr="000051F0">
        <w:t xml:space="preserve">a </w:t>
      </w:r>
      <w:r w:rsidR="00BE6CD3" w:rsidRPr="000051F0">
        <w:t xml:space="preserve">talk from Dr Julian Hume, an eminent avian palaeontologist and artist </w:t>
      </w:r>
      <w:r w:rsidR="00C57E53" w:rsidRPr="000051F0">
        <w:t xml:space="preserve">and </w:t>
      </w:r>
      <w:r w:rsidR="00BE6CD3" w:rsidRPr="000051F0">
        <w:t>resident of Wickham</w:t>
      </w:r>
      <w:r w:rsidR="00C5672F">
        <w:t>,</w:t>
      </w:r>
      <w:r w:rsidR="00C57E53" w:rsidRPr="000051F0">
        <w:t xml:space="preserve"> about the </w:t>
      </w:r>
      <w:r w:rsidR="00591BC2" w:rsidRPr="000051F0">
        <w:t xml:space="preserve">life, decline and </w:t>
      </w:r>
      <w:r w:rsidR="00193683" w:rsidRPr="000051F0">
        <w:t>extinction</w:t>
      </w:r>
      <w:r w:rsidR="00591BC2" w:rsidRPr="000051F0">
        <w:t xml:space="preserve"> of the Dodo.  </w:t>
      </w:r>
      <w:r w:rsidR="000904E7" w:rsidRPr="000051F0">
        <w:t>Julian ha</w:t>
      </w:r>
      <w:r w:rsidR="00743E61" w:rsidRPr="000051F0">
        <w:t>d</w:t>
      </w:r>
      <w:r w:rsidR="000904E7" w:rsidRPr="000051F0">
        <w:t xml:space="preserve"> been on many field trips to Mauritius and ha</w:t>
      </w:r>
      <w:r w:rsidR="00743E61" w:rsidRPr="000051F0">
        <w:t>d</w:t>
      </w:r>
      <w:r w:rsidR="000904E7" w:rsidRPr="000051F0">
        <w:t xml:space="preserve"> found a range of bones that can be attributed to the bird.  Based on his findings, he has created illustrations to show in </w:t>
      </w:r>
      <w:r w:rsidR="00302E91" w:rsidRPr="000051F0">
        <w:t>detail</w:t>
      </w:r>
      <w:r w:rsidR="000904E7" w:rsidRPr="000051F0">
        <w:t xml:space="preserve"> how the Dodo would have looked, within the context of the vegetation and other birds and insects that would have been prevalent on the island at the same time.  </w:t>
      </w:r>
      <w:r w:rsidR="00302E91" w:rsidRPr="000051F0">
        <w:t xml:space="preserve">In April, </w:t>
      </w:r>
      <w:r w:rsidR="00733EAB" w:rsidRPr="000051F0">
        <w:t>we</w:t>
      </w:r>
      <w:r w:rsidR="00A87D43" w:rsidRPr="000051F0">
        <w:t xml:space="preserve"> were privileged to hear John</w:t>
      </w:r>
      <w:r w:rsidR="00733EAB" w:rsidRPr="000051F0">
        <w:t xml:space="preserve"> Gwynn</w:t>
      </w:r>
      <w:r w:rsidR="00A87D43" w:rsidRPr="000051F0">
        <w:t xml:space="preserve">’s reflections on the challenges and opportunities of running a horticultural enterprise that is at the mercy of the weather, environmental standards, plant infections, labour shortages, the collapse of customer companies, plus changes in government policy and taxation – along with the joy of working with plants and nature, while providing employment for local people.  </w:t>
      </w:r>
      <w:r w:rsidR="00DF14D9" w:rsidRPr="000051F0">
        <w:t>In May</w:t>
      </w:r>
      <w:r w:rsidR="001B56AC" w:rsidRPr="000051F0">
        <w:t xml:space="preserve">, Philip Greenish gave an oversight </w:t>
      </w:r>
      <w:r w:rsidR="00D20D27">
        <w:t>of</w:t>
      </w:r>
      <w:r w:rsidR="001B56AC" w:rsidRPr="000051F0">
        <w:t xml:space="preserve"> the issues facing universit</w:t>
      </w:r>
      <w:r w:rsidR="00310C34" w:rsidRPr="000051F0">
        <w:t>ies</w:t>
      </w:r>
      <w:r w:rsidR="001411E6">
        <w:t>, highlightin</w:t>
      </w:r>
      <w:r w:rsidR="00144177">
        <w:t>g</w:t>
      </w:r>
      <w:r w:rsidR="009C27A7" w:rsidRPr="000051F0">
        <w:t xml:space="preserve"> the </w:t>
      </w:r>
      <w:r w:rsidR="00CC5C5E" w:rsidRPr="000051F0">
        <w:t xml:space="preserve">£139 billion per annum </w:t>
      </w:r>
      <w:r w:rsidR="00377379" w:rsidRPr="000051F0">
        <w:t xml:space="preserve">that </w:t>
      </w:r>
      <w:r w:rsidR="009C27A7" w:rsidRPr="000051F0">
        <w:t xml:space="preserve">the </w:t>
      </w:r>
      <w:r w:rsidR="00310C34" w:rsidRPr="000051F0">
        <w:t xml:space="preserve">sector </w:t>
      </w:r>
      <w:r w:rsidR="00CC5C5E" w:rsidRPr="000051F0">
        <w:t>brings</w:t>
      </w:r>
      <w:r w:rsidR="00310C34" w:rsidRPr="000051F0">
        <w:t xml:space="preserve"> to the UK economy</w:t>
      </w:r>
      <w:r w:rsidR="000A1D9C" w:rsidRPr="000051F0">
        <w:t>, through its research and innovation</w:t>
      </w:r>
      <w:r w:rsidR="006F6BFD" w:rsidRPr="000051F0">
        <w:t xml:space="preserve"> with over 21,000 active university spinouts and start-ups</w:t>
      </w:r>
      <w:r w:rsidR="00602BD5" w:rsidRPr="000051F0">
        <w:t>.</w:t>
      </w:r>
      <w:r w:rsidR="00F4660F" w:rsidRPr="000051F0">
        <w:t xml:space="preserve">  </w:t>
      </w:r>
      <w:r w:rsidR="00F4660F" w:rsidRPr="000051F0">
        <w:rPr>
          <w:rFonts w:eastAsia="Times New Roman" w:cs="Calibri"/>
          <w:color w:val="000000"/>
          <w:lang w:eastAsia="en-GB"/>
        </w:rPr>
        <w:t xml:space="preserve">Philip also demonstrated how our region has a leading knowledge economy, including the four universities with well-developed links between academia and industry delivering the vocational and professional skills of the future.   </w:t>
      </w:r>
    </w:p>
    <w:p w14:paraId="471EF583" w14:textId="77777777" w:rsidR="00F749BD" w:rsidRPr="000051F0" w:rsidRDefault="00F749BD" w:rsidP="003A30ED">
      <w:pPr>
        <w:jc w:val="left"/>
        <w:rPr>
          <w:rFonts w:cstheme="minorHAnsi"/>
        </w:rPr>
      </w:pPr>
    </w:p>
    <w:p w14:paraId="2CAF7D0F" w14:textId="7D890F02" w:rsidR="00DF53BD" w:rsidRDefault="00872181" w:rsidP="00DF53BD">
      <w:pPr>
        <w:jc w:val="both"/>
        <w:rPr>
          <w:noProof/>
          <w:lang w:eastAsia="en-GB"/>
        </w:rPr>
      </w:pPr>
      <w:r w:rsidRPr="000051F0">
        <w:t xml:space="preserve">At our first meeting of the Autumn Programme, </w:t>
      </w:r>
      <w:r w:rsidR="00E848B4" w:rsidRPr="000051F0">
        <w:t>we</w:t>
      </w:r>
      <w:r w:rsidRPr="000051F0">
        <w:t xml:space="preserve"> welcomed John Palmer, Resource Manager for the Street Pastors in Portsmouth.</w:t>
      </w:r>
      <w:r w:rsidR="00172B02" w:rsidRPr="000051F0">
        <w:t xml:space="preserve"> He explained that</w:t>
      </w:r>
      <w:r w:rsidR="00256747" w:rsidRPr="000051F0">
        <w:rPr>
          <w:rFonts w:cstheme="minorHAnsi"/>
        </w:rPr>
        <w:t xml:space="preserve"> </w:t>
      </w:r>
      <w:r w:rsidR="00172B02" w:rsidRPr="000051F0">
        <w:t>Street Pastors are trained volunteers willing to give assistance to members of the public who are out on the streets</w:t>
      </w:r>
      <w:r w:rsidR="00362E7E">
        <w:t xml:space="preserve"> at night</w:t>
      </w:r>
      <w:r w:rsidR="00C215EB">
        <w:t>.</w:t>
      </w:r>
      <w:r w:rsidR="00172B02" w:rsidRPr="000051F0">
        <w:t xml:space="preserve">  Working in close contact with local police and health services, they patrol in </w:t>
      </w:r>
      <w:r w:rsidR="00813A31" w:rsidRPr="000051F0">
        <w:t>three</w:t>
      </w:r>
      <w:r w:rsidR="00172B02" w:rsidRPr="000051F0">
        <w:t xml:space="preserve"> main areas of the city that have vibrant ‘night economies</w:t>
      </w:r>
      <w:r w:rsidR="00097AE6">
        <w:t>.</w:t>
      </w:r>
      <w:r w:rsidR="00172B02" w:rsidRPr="000051F0">
        <w:t xml:space="preserve">’  </w:t>
      </w:r>
      <w:r w:rsidR="00D163FA" w:rsidRPr="000051F0">
        <w:t xml:space="preserve">In November, </w:t>
      </w:r>
      <w:r w:rsidR="00B36ED7" w:rsidRPr="000051F0">
        <w:t xml:space="preserve">the </w:t>
      </w:r>
      <w:r w:rsidR="00E748C5" w:rsidRPr="000051F0">
        <w:lastRenderedPageBreak/>
        <w:t xml:space="preserve">Society hosted a meeting where members and visitors </w:t>
      </w:r>
      <w:r w:rsidR="00303FD9" w:rsidRPr="000051F0">
        <w:t>we</w:t>
      </w:r>
      <w:r w:rsidR="00E748C5" w:rsidRPr="000051F0">
        <w:t>re welcome</w:t>
      </w:r>
      <w:r w:rsidR="00303FD9" w:rsidRPr="000051F0">
        <w:t>d</w:t>
      </w:r>
      <w:r w:rsidR="00E748C5" w:rsidRPr="000051F0">
        <w:t xml:space="preserve"> to come and hear the latest news about the M27 Junction 10 Improvement Scheme from Michael Spoor, Principal Project Manager of the Implementation Team</w:t>
      </w:r>
      <w:r w:rsidR="00EF372D" w:rsidRPr="000051F0">
        <w:t xml:space="preserve">.  He </w:t>
      </w:r>
      <w:r w:rsidR="00DF53BD" w:rsidRPr="000051F0">
        <w:t>forewarned us of the plans to close the motorway in both directions between junctions 9 and 11 from Christmas Eve until 4 January 2026, to enable</w:t>
      </w:r>
      <w:r w:rsidR="00B037EE" w:rsidRPr="000051F0">
        <w:t xml:space="preserve"> the</w:t>
      </w:r>
      <w:r w:rsidR="00DF53BD" w:rsidRPr="000051F0">
        <w:rPr>
          <w:noProof/>
          <w:lang w:eastAsia="en-GB"/>
        </w:rPr>
        <w:t xml:space="preserve"> put</w:t>
      </w:r>
      <w:r w:rsidR="00B037EE" w:rsidRPr="000051F0">
        <w:rPr>
          <w:noProof/>
          <w:lang w:eastAsia="en-GB"/>
        </w:rPr>
        <w:t>ting</w:t>
      </w:r>
      <w:r w:rsidR="00DF53BD" w:rsidRPr="000051F0">
        <w:rPr>
          <w:noProof/>
          <w:lang w:eastAsia="en-GB"/>
        </w:rPr>
        <w:t xml:space="preserve"> in place</w:t>
      </w:r>
      <w:r w:rsidR="00B037EE" w:rsidRPr="000051F0">
        <w:rPr>
          <w:noProof/>
          <w:lang w:eastAsia="en-GB"/>
        </w:rPr>
        <w:t xml:space="preserve"> of</w:t>
      </w:r>
      <w:r w:rsidR="00DF53BD" w:rsidRPr="000051F0">
        <w:rPr>
          <w:noProof/>
          <w:lang w:eastAsia="en-GB"/>
        </w:rPr>
        <w:t xml:space="preserve"> a new underpass beneath the M27, using an innovative ‘box slide’ engineering technique. Using this method mean</w:t>
      </w:r>
      <w:r w:rsidR="007533C4" w:rsidRPr="000051F0">
        <w:rPr>
          <w:noProof/>
          <w:lang w:eastAsia="en-GB"/>
        </w:rPr>
        <w:t>t</w:t>
      </w:r>
      <w:r w:rsidR="00DF53BD" w:rsidRPr="000051F0">
        <w:rPr>
          <w:noProof/>
          <w:lang w:eastAsia="en-GB"/>
        </w:rPr>
        <w:t xml:space="preserve"> that many months of lane restrictions, speed limits, and overnight works </w:t>
      </w:r>
      <w:r w:rsidR="007533C4" w:rsidRPr="000051F0">
        <w:rPr>
          <w:noProof/>
          <w:lang w:eastAsia="en-GB"/>
        </w:rPr>
        <w:t>w</w:t>
      </w:r>
      <w:r w:rsidR="00B037EE" w:rsidRPr="000051F0">
        <w:rPr>
          <w:noProof/>
          <w:lang w:eastAsia="en-GB"/>
        </w:rPr>
        <w:t>ould</w:t>
      </w:r>
      <w:r w:rsidR="00DF53BD" w:rsidRPr="000051F0">
        <w:rPr>
          <w:noProof/>
          <w:lang w:eastAsia="en-GB"/>
        </w:rPr>
        <w:t xml:space="preserve"> be avoided</w:t>
      </w:r>
      <w:r w:rsidR="009C1A52">
        <w:rPr>
          <w:noProof/>
          <w:lang w:eastAsia="en-GB"/>
        </w:rPr>
        <w:t xml:space="preserve"> – and the project was successful!</w:t>
      </w:r>
    </w:p>
    <w:p w14:paraId="2337F3FF" w14:textId="77777777" w:rsidR="005035DC" w:rsidRPr="000051F0" w:rsidRDefault="005035DC" w:rsidP="00DF53BD">
      <w:pPr>
        <w:jc w:val="both"/>
        <w:rPr>
          <w:noProof/>
          <w:lang w:eastAsia="en-GB"/>
        </w:rPr>
      </w:pPr>
    </w:p>
    <w:p w14:paraId="0CB5F317" w14:textId="79578860" w:rsidR="00172B02" w:rsidRDefault="005E1215" w:rsidP="00172B02">
      <w:pPr>
        <w:jc w:val="both"/>
      </w:pPr>
      <w:r w:rsidRPr="000051F0">
        <w:t>In December we our shared Christmas meeting with the History Society</w:t>
      </w:r>
      <w:r w:rsidR="00473ADA" w:rsidRPr="000051F0">
        <w:t xml:space="preserve">, when </w:t>
      </w:r>
      <w:r w:rsidR="00FE261E" w:rsidRPr="000051F0">
        <w:t xml:space="preserve">Alan Brindle took us back in </w:t>
      </w:r>
      <w:r w:rsidR="005035DC">
        <w:t xml:space="preserve">time </w:t>
      </w:r>
      <w:r w:rsidR="00FE261E" w:rsidRPr="000051F0">
        <w:t xml:space="preserve">to </w:t>
      </w:r>
      <w:r w:rsidR="004602ED" w:rsidRPr="000051F0">
        <w:t xml:space="preserve">enjoy a magic lantern show – the Victorian predecessor to </w:t>
      </w:r>
      <w:r w:rsidR="004F0CCF" w:rsidRPr="000051F0">
        <w:t>PowerPoint</w:t>
      </w:r>
      <w:r w:rsidR="001D7944" w:rsidRPr="000051F0">
        <w:t xml:space="preserve"> – that w</w:t>
      </w:r>
      <w:r w:rsidR="005035DC">
        <w:t>as</w:t>
      </w:r>
      <w:r w:rsidR="001D7944" w:rsidRPr="000051F0">
        <w:t xml:space="preserve"> used for both education and entertainment</w:t>
      </w:r>
      <w:r w:rsidR="00E502CE" w:rsidRPr="000051F0">
        <w:t xml:space="preserve"> </w:t>
      </w:r>
      <w:r w:rsidR="00FC4132" w:rsidRPr="000051F0">
        <w:t xml:space="preserve">purposes </w:t>
      </w:r>
      <w:r w:rsidR="00E502CE" w:rsidRPr="000051F0">
        <w:t>and w</w:t>
      </w:r>
      <w:r w:rsidR="00D13819">
        <w:t>as</w:t>
      </w:r>
      <w:r w:rsidR="00E502CE" w:rsidRPr="000051F0">
        <w:t xml:space="preserve"> very popular </w:t>
      </w:r>
      <w:r w:rsidR="009959BE" w:rsidRPr="000051F0">
        <w:t xml:space="preserve">as the illusion of moving images was previously unknown </w:t>
      </w:r>
      <w:r w:rsidR="00965763" w:rsidRPr="000051F0">
        <w:t>to Victorian audiences.</w:t>
      </w:r>
    </w:p>
    <w:p w14:paraId="79B4AE27" w14:textId="77777777" w:rsidR="000331C8" w:rsidRDefault="000331C8" w:rsidP="00172B02">
      <w:pPr>
        <w:jc w:val="both"/>
      </w:pPr>
    </w:p>
    <w:p w14:paraId="023AEC88" w14:textId="0A234BFA" w:rsidR="000331C8" w:rsidRDefault="000331C8" w:rsidP="00172B02">
      <w:pPr>
        <w:jc w:val="both"/>
      </w:pPr>
      <w:r>
        <w:t xml:space="preserve">In early summer, a </w:t>
      </w:r>
      <w:r w:rsidR="00396254">
        <w:t xml:space="preserve">group </w:t>
      </w:r>
      <w:r>
        <w:t xml:space="preserve">visit was arranged to </w:t>
      </w:r>
      <w:r w:rsidR="00396254">
        <w:t xml:space="preserve">see a delightful garden in </w:t>
      </w:r>
      <w:proofErr w:type="spellStart"/>
      <w:r w:rsidR="004F0CCF">
        <w:t>Hambled</w:t>
      </w:r>
      <w:r w:rsidR="00B5040E">
        <w:t>o</w:t>
      </w:r>
      <w:r w:rsidR="004F0CCF">
        <w:t>n</w:t>
      </w:r>
      <w:proofErr w:type="spellEnd"/>
      <w:r w:rsidR="00396254">
        <w:t xml:space="preserve">.  </w:t>
      </w:r>
      <w:r w:rsidR="00012718">
        <w:t xml:space="preserve">There were 20 members who enjoyed a fascinating tour </w:t>
      </w:r>
      <w:r w:rsidR="00275397">
        <w:t>followed by tea on a lovely summer’s afternoon</w:t>
      </w:r>
      <w:r w:rsidR="00B93FD6">
        <w:t>, hosted by Diana Hart-Dyke through the National Gardens Scheme</w:t>
      </w:r>
      <w:r w:rsidR="00710145">
        <w:t xml:space="preserve"> – happy memories!</w:t>
      </w:r>
    </w:p>
    <w:p w14:paraId="293F8777" w14:textId="77777777" w:rsidR="003D0F96" w:rsidRDefault="003D0F96" w:rsidP="00172B02">
      <w:pPr>
        <w:jc w:val="both"/>
      </w:pPr>
    </w:p>
    <w:p w14:paraId="3C426BB3" w14:textId="322FC47E" w:rsidR="003A30ED" w:rsidRPr="00ED397F" w:rsidRDefault="003A30ED" w:rsidP="003A30ED">
      <w:pPr>
        <w:jc w:val="left"/>
        <w:rPr>
          <w:rFonts w:cstheme="minorHAnsi"/>
          <w:i/>
          <w:iCs/>
          <w:sz w:val="28"/>
          <w:szCs w:val="28"/>
        </w:rPr>
      </w:pPr>
      <w:r w:rsidRPr="00ED397F">
        <w:rPr>
          <w:rFonts w:cstheme="minorHAnsi"/>
          <w:i/>
          <w:iCs/>
          <w:sz w:val="28"/>
          <w:szCs w:val="28"/>
        </w:rPr>
        <w:t>Planning issues</w:t>
      </w:r>
      <w:r w:rsidR="002E7D88">
        <w:rPr>
          <w:rFonts w:cstheme="minorHAnsi"/>
          <w:i/>
          <w:iCs/>
          <w:sz w:val="28"/>
          <w:szCs w:val="28"/>
        </w:rPr>
        <w:t xml:space="preserve"> in 2025</w:t>
      </w:r>
    </w:p>
    <w:p w14:paraId="5B2A8CC4" w14:textId="5555FA29" w:rsidR="003A30ED" w:rsidRDefault="003A30ED" w:rsidP="003A30ED">
      <w:pPr>
        <w:pStyle w:val="ListParagraph"/>
        <w:numPr>
          <w:ilvl w:val="0"/>
          <w:numId w:val="2"/>
        </w:numPr>
        <w:spacing w:line="259" w:lineRule="auto"/>
        <w:jc w:val="left"/>
        <w:rPr>
          <w:rFonts w:cstheme="minorHAnsi"/>
        </w:rPr>
      </w:pPr>
      <w:r w:rsidRPr="00906F11">
        <w:rPr>
          <w:rFonts w:cstheme="minorHAnsi"/>
          <w:b/>
          <w:bCs/>
        </w:rPr>
        <w:t>Titchfield Lane</w:t>
      </w:r>
      <w:r w:rsidR="00043B8B">
        <w:rPr>
          <w:rFonts w:cstheme="minorHAnsi"/>
          <w:b/>
          <w:bCs/>
        </w:rPr>
        <w:t xml:space="preserve">: </w:t>
      </w:r>
      <w:r w:rsidR="009B1775">
        <w:rPr>
          <w:rFonts w:cstheme="minorHAnsi"/>
        </w:rPr>
        <w:t>An</w:t>
      </w:r>
      <w:r w:rsidR="00105962">
        <w:rPr>
          <w:rFonts w:cstheme="minorHAnsi"/>
        </w:rPr>
        <w:t xml:space="preserve"> app</w:t>
      </w:r>
      <w:r w:rsidR="00744193">
        <w:rPr>
          <w:rFonts w:cstheme="minorHAnsi"/>
        </w:rPr>
        <w:t xml:space="preserve">lication to install solar panels and supporting </w:t>
      </w:r>
      <w:r w:rsidR="00226D27">
        <w:rPr>
          <w:rFonts w:cstheme="minorHAnsi"/>
        </w:rPr>
        <w:t xml:space="preserve">infrastructure </w:t>
      </w:r>
      <w:r w:rsidR="00B77896">
        <w:rPr>
          <w:rFonts w:cstheme="minorHAnsi"/>
        </w:rPr>
        <w:t xml:space="preserve">at various locations </w:t>
      </w:r>
      <w:r w:rsidR="004551FE">
        <w:rPr>
          <w:rFonts w:cstheme="minorHAnsi"/>
        </w:rPr>
        <w:t>alongside</w:t>
      </w:r>
      <w:r w:rsidR="00B77896">
        <w:rPr>
          <w:rFonts w:cstheme="minorHAnsi"/>
        </w:rPr>
        <w:t xml:space="preserve"> Titchfield Lane</w:t>
      </w:r>
      <w:r w:rsidR="00BA0A59">
        <w:rPr>
          <w:rFonts w:cstheme="minorHAnsi"/>
        </w:rPr>
        <w:t xml:space="preserve"> was accepted last year despite con</w:t>
      </w:r>
      <w:r w:rsidR="00BA034C">
        <w:rPr>
          <w:rFonts w:cstheme="minorHAnsi"/>
        </w:rPr>
        <w:t>cerns raised by the</w:t>
      </w:r>
      <w:r w:rsidR="00B77896">
        <w:rPr>
          <w:rFonts w:cstheme="minorHAnsi"/>
        </w:rPr>
        <w:t xml:space="preserve"> Parish Council</w:t>
      </w:r>
      <w:r w:rsidR="00543227">
        <w:rPr>
          <w:rFonts w:cstheme="minorHAnsi"/>
        </w:rPr>
        <w:t xml:space="preserve">s of Wickham and </w:t>
      </w:r>
      <w:proofErr w:type="spellStart"/>
      <w:r w:rsidR="00543227">
        <w:rPr>
          <w:rFonts w:cstheme="minorHAnsi"/>
        </w:rPr>
        <w:t>Shedfield</w:t>
      </w:r>
      <w:proofErr w:type="spellEnd"/>
      <w:r w:rsidR="00B672D0">
        <w:rPr>
          <w:rFonts w:cstheme="minorHAnsi"/>
        </w:rPr>
        <w:t xml:space="preserve"> and</w:t>
      </w:r>
      <w:r w:rsidR="00B77896">
        <w:rPr>
          <w:rFonts w:cstheme="minorHAnsi"/>
        </w:rPr>
        <w:t xml:space="preserve"> </w:t>
      </w:r>
      <w:r w:rsidR="002209B4">
        <w:rPr>
          <w:rFonts w:cstheme="minorHAnsi"/>
        </w:rPr>
        <w:t>several</w:t>
      </w:r>
      <w:r w:rsidR="00B77896">
        <w:rPr>
          <w:rFonts w:cstheme="minorHAnsi"/>
        </w:rPr>
        <w:t xml:space="preserve"> </w:t>
      </w:r>
      <w:r w:rsidR="005D47C0">
        <w:rPr>
          <w:rFonts w:cstheme="minorHAnsi"/>
        </w:rPr>
        <w:t>residents</w:t>
      </w:r>
      <w:r w:rsidR="00BA034C">
        <w:rPr>
          <w:rFonts w:cstheme="minorHAnsi"/>
        </w:rPr>
        <w:t xml:space="preserve">.  A further application to install batteries </w:t>
      </w:r>
      <w:r w:rsidR="004551FE">
        <w:rPr>
          <w:rFonts w:cstheme="minorHAnsi"/>
        </w:rPr>
        <w:t>alongside</w:t>
      </w:r>
      <w:r w:rsidR="00BA034C">
        <w:rPr>
          <w:rFonts w:cstheme="minorHAnsi"/>
        </w:rPr>
        <w:t xml:space="preserve"> the same road has also no</w:t>
      </w:r>
      <w:r w:rsidR="0096490A">
        <w:rPr>
          <w:rFonts w:cstheme="minorHAnsi"/>
        </w:rPr>
        <w:t>w been accepted</w:t>
      </w:r>
      <w:r w:rsidR="000051F0">
        <w:rPr>
          <w:rFonts w:cstheme="minorHAnsi"/>
        </w:rPr>
        <w:t xml:space="preserve"> by Winchester City Council (WCC)</w:t>
      </w:r>
      <w:r w:rsidR="0096490A">
        <w:rPr>
          <w:rFonts w:cstheme="minorHAnsi"/>
        </w:rPr>
        <w:t>.</w:t>
      </w:r>
    </w:p>
    <w:p w14:paraId="58CBCB2E" w14:textId="77777777" w:rsidR="00503E43" w:rsidRPr="00083A1F" w:rsidRDefault="00503E43" w:rsidP="00503E43">
      <w:pPr>
        <w:pStyle w:val="ListParagraph"/>
        <w:spacing w:line="259" w:lineRule="auto"/>
        <w:ind w:left="360"/>
        <w:jc w:val="left"/>
        <w:rPr>
          <w:rFonts w:cstheme="minorHAnsi"/>
          <w:sz w:val="16"/>
          <w:szCs w:val="16"/>
        </w:rPr>
      </w:pPr>
    </w:p>
    <w:p w14:paraId="2CFDBE96" w14:textId="556F0CF5" w:rsidR="0076064F" w:rsidRPr="00DC5CE4" w:rsidRDefault="00003484" w:rsidP="00BA055E">
      <w:pPr>
        <w:pStyle w:val="ListParagraph"/>
        <w:numPr>
          <w:ilvl w:val="0"/>
          <w:numId w:val="2"/>
        </w:numPr>
        <w:spacing w:line="259" w:lineRule="auto"/>
        <w:jc w:val="left"/>
        <w:rPr>
          <w:rFonts w:cstheme="minorHAnsi"/>
          <w:color w:val="0A0A0A"/>
          <w:sz w:val="16"/>
          <w:szCs w:val="16"/>
          <w:shd w:val="clear" w:color="auto" w:fill="FFFFFF"/>
        </w:rPr>
      </w:pPr>
      <w:r w:rsidRPr="00DC5CE4">
        <w:rPr>
          <w:rFonts w:cstheme="minorHAnsi"/>
          <w:b/>
          <w:bCs/>
        </w:rPr>
        <w:t>WCC Local Plan 2020 – 2040</w:t>
      </w:r>
      <w:r w:rsidR="00043B8B" w:rsidRPr="00DC5CE4">
        <w:rPr>
          <w:rFonts w:cstheme="minorHAnsi"/>
          <w:b/>
          <w:bCs/>
        </w:rPr>
        <w:t>:</w:t>
      </w:r>
      <w:r w:rsidRPr="00DC5CE4">
        <w:rPr>
          <w:rFonts w:cstheme="minorHAnsi"/>
        </w:rPr>
        <w:t xml:space="preserve"> </w:t>
      </w:r>
      <w:r w:rsidRPr="00DC5CE4">
        <w:rPr>
          <w:rFonts w:cstheme="minorHAnsi"/>
          <w:color w:val="0A0A0A"/>
          <w:shd w:val="clear" w:color="auto" w:fill="FFFFFF"/>
        </w:rPr>
        <w:t>Th</w:t>
      </w:r>
      <w:r w:rsidR="0093540D" w:rsidRPr="00DC5CE4">
        <w:rPr>
          <w:rFonts w:cstheme="minorHAnsi"/>
          <w:color w:val="0A0A0A"/>
          <w:shd w:val="clear" w:color="auto" w:fill="FFFFFF"/>
        </w:rPr>
        <w:t xml:space="preserve">is </w:t>
      </w:r>
      <w:r w:rsidR="00DB5318" w:rsidRPr="00DC5CE4">
        <w:rPr>
          <w:rFonts w:cstheme="minorHAnsi"/>
          <w:color w:val="0A0A0A"/>
          <w:shd w:val="clear" w:color="auto" w:fill="FFFFFF"/>
        </w:rPr>
        <w:t>p</w:t>
      </w:r>
      <w:r w:rsidRPr="00DC5CE4">
        <w:rPr>
          <w:rFonts w:cstheme="minorHAnsi"/>
          <w:color w:val="0A0A0A"/>
          <w:shd w:val="clear" w:color="auto" w:fill="FFFFFF"/>
        </w:rPr>
        <w:t>lan sets out how it intend</w:t>
      </w:r>
      <w:r w:rsidR="00D13819" w:rsidRPr="00DC5CE4">
        <w:rPr>
          <w:rFonts w:cstheme="minorHAnsi"/>
          <w:color w:val="0A0A0A"/>
          <w:shd w:val="clear" w:color="auto" w:fill="FFFFFF"/>
        </w:rPr>
        <w:t>s</w:t>
      </w:r>
      <w:r w:rsidRPr="00DC5CE4">
        <w:rPr>
          <w:rFonts w:cstheme="minorHAnsi"/>
          <w:color w:val="0A0A0A"/>
          <w:shd w:val="clear" w:color="auto" w:fill="FFFFFF"/>
        </w:rPr>
        <w:t xml:space="preserve"> to accommodate the growth we need to plan for in the district, outside the South Downs National Park, for the period up to 2040. </w:t>
      </w:r>
      <w:r w:rsidR="00C001CC" w:rsidRPr="00DC5CE4">
        <w:rPr>
          <w:rFonts w:cstheme="minorHAnsi"/>
          <w:color w:val="0A0A0A"/>
          <w:shd w:val="clear" w:color="auto" w:fill="FFFFFF"/>
        </w:rPr>
        <w:t xml:space="preserve"> This </w:t>
      </w:r>
      <w:r w:rsidR="00054580" w:rsidRPr="00DC5CE4">
        <w:rPr>
          <w:rFonts w:cstheme="minorHAnsi"/>
          <w:color w:val="0A0A0A"/>
          <w:shd w:val="clear" w:color="auto" w:fill="FFFFFF"/>
        </w:rPr>
        <w:t xml:space="preserve">plan </w:t>
      </w:r>
      <w:r w:rsidR="003E7A91" w:rsidRPr="00DC5CE4">
        <w:rPr>
          <w:rFonts w:cstheme="minorHAnsi"/>
          <w:color w:val="0A0A0A"/>
          <w:shd w:val="clear" w:color="auto" w:fill="FFFFFF"/>
        </w:rPr>
        <w:t>was</w:t>
      </w:r>
      <w:r w:rsidR="002F7211" w:rsidRPr="00DC5CE4">
        <w:rPr>
          <w:rFonts w:cstheme="minorHAnsi"/>
          <w:color w:val="0A0A0A"/>
          <w:shd w:val="clear" w:color="auto" w:fill="FFFFFF"/>
        </w:rPr>
        <w:t xml:space="preserve"> formally adopted at a full Council meeting </w:t>
      </w:r>
      <w:r w:rsidR="003E7A91" w:rsidRPr="00DC5CE4">
        <w:rPr>
          <w:rFonts w:cstheme="minorHAnsi"/>
          <w:color w:val="0A0A0A"/>
          <w:shd w:val="clear" w:color="auto" w:fill="FFFFFF"/>
        </w:rPr>
        <w:t>on 24 March 2026</w:t>
      </w:r>
      <w:r w:rsidR="00645B10" w:rsidRPr="00DC5CE4">
        <w:rPr>
          <w:rFonts w:cstheme="minorHAnsi"/>
          <w:color w:val="0A0A0A"/>
          <w:shd w:val="clear" w:color="auto" w:fill="FFFFFF"/>
        </w:rPr>
        <w:t>.  The Inspector’s repo</w:t>
      </w:r>
      <w:r w:rsidR="005466A0" w:rsidRPr="00DC5CE4">
        <w:rPr>
          <w:rFonts w:cstheme="minorHAnsi"/>
          <w:color w:val="0A0A0A"/>
          <w:shd w:val="clear" w:color="auto" w:fill="FFFFFF"/>
        </w:rPr>
        <w:t>rt and schedule of modifications can be found on the WCC website.</w:t>
      </w:r>
      <w:r w:rsidR="002E64E0" w:rsidRPr="00DC5CE4">
        <w:rPr>
          <w:rFonts w:cstheme="minorHAnsi"/>
          <w:color w:val="0A0A0A"/>
          <w:shd w:val="clear" w:color="auto" w:fill="FFFFFF"/>
        </w:rPr>
        <w:t xml:space="preserve">  This plan includes the addition of 60 houses at Wykeham Vale and </w:t>
      </w:r>
      <w:r w:rsidR="00AA4F10" w:rsidRPr="00DC5CE4">
        <w:rPr>
          <w:rFonts w:cstheme="minorHAnsi"/>
          <w:color w:val="0A0A0A"/>
          <w:shd w:val="clear" w:color="auto" w:fill="FFFFFF"/>
        </w:rPr>
        <w:t xml:space="preserve">40 houses in Mill Lane. </w:t>
      </w:r>
      <w:hyperlink r:id="rId8" w:history="1">
        <w:r w:rsidR="00DC5CE4" w:rsidRPr="00DC5CE4">
          <w:rPr>
            <w:rStyle w:val="Hyperlink"/>
            <w:rFonts w:cstheme="minorHAnsi"/>
            <w:shd w:val="clear" w:color="auto" w:fill="FFFFFF"/>
          </w:rPr>
          <w:t>Winchester District Local Plan 2020 – 2040 (Emerging) - Winchester City Council</w:t>
        </w:r>
      </w:hyperlink>
      <w:r w:rsidR="00DC5CE4">
        <w:t xml:space="preserve"> .  H</w:t>
      </w:r>
      <w:r w:rsidR="00AA4F10" w:rsidRPr="00DC5CE4">
        <w:rPr>
          <w:rFonts w:cstheme="minorHAnsi"/>
          <w:color w:val="0A0A0A"/>
          <w:shd w:val="clear" w:color="auto" w:fill="FFFFFF"/>
        </w:rPr>
        <w:t xml:space="preserve">owever, the next </w:t>
      </w:r>
      <w:r w:rsidR="00171B12" w:rsidRPr="00DC5CE4">
        <w:rPr>
          <w:rFonts w:cstheme="minorHAnsi"/>
          <w:color w:val="0A0A0A"/>
          <w:shd w:val="clear" w:color="auto" w:fill="FFFFFF"/>
        </w:rPr>
        <w:t xml:space="preserve">Local Plan that </w:t>
      </w:r>
      <w:r w:rsidR="006063DC" w:rsidRPr="00DC5CE4">
        <w:rPr>
          <w:rFonts w:cstheme="minorHAnsi"/>
          <w:color w:val="0A0A0A"/>
          <w:shd w:val="clear" w:color="auto" w:fill="FFFFFF"/>
        </w:rPr>
        <w:t xml:space="preserve">carries </w:t>
      </w:r>
      <w:r w:rsidR="00171B12" w:rsidRPr="00DC5CE4">
        <w:rPr>
          <w:rFonts w:cstheme="minorHAnsi"/>
          <w:color w:val="0A0A0A"/>
          <w:shd w:val="clear" w:color="auto" w:fill="FFFFFF"/>
        </w:rPr>
        <w:t xml:space="preserve">on for a further 5 years is </w:t>
      </w:r>
      <w:r w:rsidR="00DC5CE4">
        <w:rPr>
          <w:rFonts w:cstheme="minorHAnsi"/>
          <w:color w:val="0A0A0A"/>
          <w:shd w:val="clear" w:color="auto" w:fill="FFFFFF"/>
        </w:rPr>
        <w:t xml:space="preserve">already </w:t>
      </w:r>
      <w:r w:rsidR="00345EA1" w:rsidRPr="00DC5CE4">
        <w:rPr>
          <w:rFonts w:cstheme="minorHAnsi"/>
          <w:color w:val="0A0A0A"/>
          <w:shd w:val="clear" w:color="auto" w:fill="FFFFFF"/>
        </w:rPr>
        <w:t>starting to be prepared.</w:t>
      </w:r>
      <w:r w:rsidR="0093540D" w:rsidRPr="00DC5CE4">
        <w:rPr>
          <w:rFonts w:cstheme="minorHAnsi"/>
          <w:color w:val="0A0A0A"/>
          <w:shd w:val="clear" w:color="auto" w:fill="FFFFFF"/>
        </w:rPr>
        <w:t xml:space="preserve">  </w:t>
      </w:r>
    </w:p>
    <w:p w14:paraId="5462D6F9" w14:textId="77777777" w:rsidR="00DC5CE4" w:rsidRPr="00DC5CE4" w:rsidRDefault="00DC5CE4" w:rsidP="00DC5CE4">
      <w:pPr>
        <w:spacing w:line="259" w:lineRule="auto"/>
        <w:jc w:val="left"/>
        <w:rPr>
          <w:rFonts w:cstheme="minorHAnsi"/>
          <w:color w:val="0A0A0A"/>
          <w:sz w:val="16"/>
          <w:szCs w:val="16"/>
          <w:shd w:val="clear" w:color="auto" w:fill="FFFFFF"/>
        </w:rPr>
      </w:pPr>
    </w:p>
    <w:p w14:paraId="71650AD1" w14:textId="0F8AC075" w:rsidR="00F0439D" w:rsidRDefault="00503E43" w:rsidP="003A30ED">
      <w:pPr>
        <w:pStyle w:val="ListParagraph"/>
        <w:numPr>
          <w:ilvl w:val="0"/>
          <w:numId w:val="2"/>
        </w:numPr>
        <w:spacing w:line="259" w:lineRule="auto"/>
        <w:jc w:val="left"/>
        <w:rPr>
          <w:rFonts w:cstheme="minorHAnsi"/>
        </w:rPr>
      </w:pPr>
      <w:proofErr w:type="spellStart"/>
      <w:r w:rsidRPr="00906F11">
        <w:rPr>
          <w:rFonts w:cstheme="minorHAnsi"/>
          <w:b/>
          <w:bCs/>
        </w:rPr>
        <w:t>Croudace</w:t>
      </w:r>
      <w:proofErr w:type="spellEnd"/>
      <w:r w:rsidRPr="00906F11">
        <w:rPr>
          <w:rFonts w:cstheme="minorHAnsi"/>
          <w:b/>
          <w:bCs/>
        </w:rPr>
        <w:t xml:space="preserve"> planning application</w:t>
      </w:r>
      <w:r w:rsidR="00043B8B">
        <w:rPr>
          <w:rFonts w:cstheme="minorHAnsi"/>
          <w:b/>
          <w:bCs/>
        </w:rPr>
        <w:t>:</w:t>
      </w:r>
      <w:r w:rsidR="00633BA4">
        <w:rPr>
          <w:rFonts w:cstheme="minorHAnsi"/>
          <w:b/>
          <w:bCs/>
        </w:rPr>
        <w:t xml:space="preserve"> </w:t>
      </w:r>
      <w:r w:rsidR="00633BA4" w:rsidRPr="00633BA4">
        <w:rPr>
          <w:rFonts w:cstheme="minorHAnsi"/>
        </w:rPr>
        <w:t>A</w:t>
      </w:r>
      <w:r w:rsidR="00633BA4">
        <w:rPr>
          <w:rFonts w:cstheme="minorHAnsi"/>
          <w:b/>
          <w:bCs/>
        </w:rPr>
        <w:t xml:space="preserve"> </w:t>
      </w:r>
      <w:r>
        <w:rPr>
          <w:rFonts w:cstheme="minorHAnsi"/>
        </w:rPr>
        <w:t xml:space="preserve">planning application was submitted </w:t>
      </w:r>
      <w:r w:rsidR="0096674B">
        <w:rPr>
          <w:rFonts w:cstheme="minorHAnsi"/>
        </w:rPr>
        <w:t>in late 2024</w:t>
      </w:r>
      <w:r w:rsidR="00F14561">
        <w:rPr>
          <w:rFonts w:cstheme="minorHAnsi"/>
        </w:rPr>
        <w:t xml:space="preserve"> to build 60 h</w:t>
      </w:r>
      <w:r w:rsidR="00D850B3">
        <w:rPr>
          <w:rFonts w:cstheme="minorHAnsi"/>
        </w:rPr>
        <w:t>omes</w:t>
      </w:r>
      <w:r w:rsidR="00F14561">
        <w:rPr>
          <w:rFonts w:cstheme="minorHAnsi"/>
        </w:rPr>
        <w:t xml:space="preserve"> beyond Wykeham Val</w:t>
      </w:r>
      <w:r w:rsidR="00247E62">
        <w:rPr>
          <w:rFonts w:cstheme="minorHAnsi"/>
        </w:rPr>
        <w:t>e</w:t>
      </w:r>
      <w:r w:rsidR="00E56DC7">
        <w:rPr>
          <w:rFonts w:cstheme="minorHAnsi"/>
        </w:rPr>
        <w:t>.  Whilst this site has been included in the W</w:t>
      </w:r>
      <w:r w:rsidR="00997338">
        <w:rPr>
          <w:rFonts w:cstheme="minorHAnsi"/>
        </w:rPr>
        <w:t xml:space="preserve">CC Local Plan as a site for development, this </w:t>
      </w:r>
      <w:r w:rsidR="00633BA4">
        <w:rPr>
          <w:rFonts w:cstheme="minorHAnsi"/>
        </w:rPr>
        <w:t>wa</w:t>
      </w:r>
      <w:r w:rsidR="00997338">
        <w:rPr>
          <w:rFonts w:cstheme="minorHAnsi"/>
        </w:rPr>
        <w:t xml:space="preserve">s not intended to happen before 2030.  </w:t>
      </w:r>
      <w:r w:rsidR="00E261AF">
        <w:rPr>
          <w:rFonts w:cstheme="minorHAnsi"/>
        </w:rPr>
        <w:t xml:space="preserve">A letter of objection for the above reasons was submitted by the Society.  </w:t>
      </w:r>
      <w:r w:rsidR="00997338">
        <w:rPr>
          <w:rFonts w:cstheme="minorHAnsi"/>
        </w:rPr>
        <w:t>The application was turned down</w:t>
      </w:r>
      <w:r w:rsidR="00247E62">
        <w:rPr>
          <w:rFonts w:cstheme="minorHAnsi"/>
        </w:rPr>
        <w:t xml:space="preserve">, however </w:t>
      </w:r>
      <w:proofErr w:type="spellStart"/>
      <w:r w:rsidR="00247E62">
        <w:rPr>
          <w:rFonts w:cstheme="minorHAnsi"/>
        </w:rPr>
        <w:t>Croudace</w:t>
      </w:r>
      <w:proofErr w:type="spellEnd"/>
      <w:r w:rsidR="00247E62">
        <w:rPr>
          <w:rFonts w:cstheme="minorHAnsi"/>
        </w:rPr>
        <w:t xml:space="preserve"> </w:t>
      </w:r>
      <w:r w:rsidR="001D6209">
        <w:rPr>
          <w:rFonts w:cstheme="minorHAnsi"/>
        </w:rPr>
        <w:t xml:space="preserve">challenged this decision and subsequently WCC </w:t>
      </w:r>
      <w:r w:rsidR="00DA3AC1">
        <w:rPr>
          <w:rFonts w:cstheme="minorHAnsi"/>
        </w:rPr>
        <w:t xml:space="preserve">withdrew their objections.  </w:t>
      </w:r>
    </w:p>
    <w:p w14:paraId="0A6713C6" w14:textId="77777777" w:rsidR="003A30ED" w:rsidRPr="00906F11" w:rsidRDefault="003A30ED" w:rsidP="003A30ED">
      <w:pPr>
        <w:jc w:val="left"/>
        <w:rPr>
          <w:rFonts w:cstheme="minorHAnsi"/>
          <w:sz w:val="16"/>
          <w:szCs w:val="16"/>
        </w:rPr>
      </w:pPr>
    </w:p>
    <w:p w14:paraId="32D5295F" w14:textId="14C78491" w:rsidR="003A30ED" w:rsidRPr="00ED397F" w:rsidRDefault="003A30ED" w:rsidP="0033057B">
      <w:pPr>
        <w:pStyle w:val="ListParagraph"/>
        <w:numPr>
          <w:ilvl w:val="0"/>
          <w:numId w:val="2"/>
        </w:numPr>
        <w:spacing w:line="259" w:lineRule="auto"/>
        <w:jc w:val="left"/>
        <w:rPr>
          <w:rFonts w:cstheme="minorHAnsi"/>
          <w:sz w:val="16"/>
          <w:szCs w:val="16"/>
        </w:rPr>
      </w:pPr>
      <w:r w:rsidRPr="00ED397F">
        <w:rPr>
          <w:rFonts w:cstheme="minorHAnsi"/>
          <w:b/>
          <w:bCs/>
        </w:rPr>
        <w:t>The Glebe</w:t>
      </w:r>
      <w:r w:rsidR="00C27B2C" w:rsidRPr="00ED397F">
        <w:rPr>
          <w:rFonts w:cstheme="minorHAnsi"/>
          <w:b/>
          <w:bCs/>
        </w:rPr>
        <w:t xml:space="preserve">:  </w:t>
      </w:r>
      <w:r w:rsidR="00C27B2C" w:rsidRPr="00ED397F">
        <w:rPr>
          <w:rFonts w:cstheme="minorHAnsi"/>
        </w:rPr>
        <w:t>The</w:t>
      </w:r>
      <w:r w:rsidRPr="00ED397F">
        <w:rPr>
          <w:rFonts w:cstheme="minorHAnsi"/>
        </w:rPr>
        <w:t xml:space="preserve"> Society, through Paul Burlingham, continues to have representation on the </w:t>
      </w:r>
      <w:r w:rsidR="000805B2" w:rsidRPr="00ED397F">
        <w:rPr>
          <w:rFonts w:cstheme="minorHAnsi"/>
        </w:rPr>
        <w:t xml:space="preserve">Glebe </w:t>
      </w:r>
      <w:r w:rsidRPr="00ED397F">
        <w:rPr>
          <w:rFonts w:cstheme="minorHAnsi"/>
        </w:rPr>
        <w:t xml:space="preserve">working group that was formed in 2022 under the leadership of Mark Ashton to support the development of the north part of the Glebe into an open space for the community. </w:t>
      </w:r>
      <w:r w:rsidR="00ED397F">
        <w:rPr>
          <w:rFonts w:cstheme="minorHAnsi"/>
        </w:rPr>
        <w:t xml:space="preserve"> </w:t>
      </w:r>
      <w:r w:rsidR="002E54E0" w:rsidRPr="00ED397F">
        <w:rPr>
          <w:rFonts w:cstheme="minorHAnsi"/>
        </w:rPr>
        <w:t xml:space="preserve">Last summer </w:t>
      </w:r>
      <w:r w:rsidR="002C3D1E" w:rsidRPr="00ED397F">
        <w:rPr>
          <w:rFonts w:cstheme="minorHAnsi"/>
        </w:rPr>
        <w:t xml:space="preserve">through </w:t>
      </w:r>
      <w:r w:rsidR="002E54E0" w:rsidRPr="00ED397F">
        <w:rPr>
          <w:rFonts w:cstheme="minorHAnsi"/>
        </w:rPr>
        <w:t>the Parish Council</w:t>
      </w:r>
      <w:r w:rsidR="002C3D1E" w:rsidRPr="00ED397F">
        <w:rPr>
          <w:rFonts w:cstheme="minorHAnsi"/>
        </w:rPr>
        <w:t xml:space="preserve">, </w:t>
      </w:r>
      <w:r w:rsidR="002E54E0" w:rsidRPr="00ED397F">
        <w:rPr>
          <w:rFonts w:cstheme="minorHAnsi"/>
        </w:rPr>
        <w:t>a public consultation</w:t>
      </w:r>
      <w:r w:rsidR="00F86379" w:rsidRPr="00ED397F">
        <w:rPr>
          <w:rFonts w:cstheme="minorHAnsi"/>
        </w:rPr>
        <w:t xml:space="preserve"> of residents</w:t>
      </w:r>
      <w:r w:rsidR="002E54E0" w:rsidRPr="00ED397F">
        <w:rPr>
          <w:rFonts w:cstheme="minorHAnsi"/>
        </w:rPr>
        <w:t xml:space="preserve"> </w:t>
      </w:r>
      <w:r w:rsidR="002C3D1E" w:rsidRPr="00ED397F">
        <w:rPr>
          <w:rFonts w:cstheme="minorHAnsi"/>
        </w:rPr>
        <w:t xml:space="preserve">was </w:t>
      </w:r>
      <w:r w:rsidR="00F86379" w:rsidRPr="00ED397F">
        <w:rPr>
          <w:rFonts w:cstheme="minorHAnsi"/>
        </w:rPr>
        <w:t xml:space="preserve">carried </w:t>
      </w:r>
      <w:r w:rsidR="00A21040" w:rsidRPr="00ED397F">
        <w:rPr>
          <w:rFonts w:cstheme="minorHAnsi"/>
        </w:rPr>
        <w:t>outlin</w:t>
      </w:r>
      <w:r w:rsidR="0072590A" w:rsidRPr="00ED397F">
        <w:rPr>
          <w:rFonts w:cstheme="minorHAnsi"/>
        </w:rPr>
        <w:t xml:space="preserve">ing proposals </w:t>
      </w:r>
      <w:r w:rsidR="002E54E0" w:rsidRPr="00ED397F">
        <w:rPr>
          <w:rFonts w:cstheme="minorHAnsi"/>
        </w:rPr>
        <w:t xml:space="preserve">for the Glebe public open space, which is situated to the </w:t>
      </w:r>
      <w:r w:rsidR="00A21040" w:rsidRPr="00ED397F">
        <w:rPr>
          <w:rFonts w:cstheme="minorHAnsi"/>
        </w:rPr>
        <w:t xml:space="preserve">south of Southwick Road and </w:t>
      </w:r>
      <w:r w:rsidR="002E54E0" w:rsidRPr="00ED397F">
        <w:rPr>
          <w:rFonts w:cstheme="minorHAnsi"/>
        </w:rPr>
        <w:t>east of School Road. The proposals</w:t>
      </w:r>
      <w:r w:rsidR="00CD4868" w:rsidRPr="00ED397F">
        <w:rPr>
          <w:rFonts w:cstheme="minorHAnsi"/>
        </w:rPr>
        <w:t>,</w:t>
      </w:r>
      <w:r w:rsidR="00B014A7" w:rsidRPr="00ED397F">
        <w:rPr>
          <w:rFonts w:cstheme="minorHAnsi"/>
        </w:rPr>
        <w:t xml:space="preserve"> formulated by the working group,</w:t>
      </w:r>
      <w:r w:rsidR="002E54E0" w:rsidRPr="00ED397F">
        <w:rPr>
          <w:rFonts w:cstheme="minorHAnsi"/>
        </w:rPr>
        <w:t xml:space="preserve"> focus</w:t>
      </w:r>
      <w:r w:rsidR="0072590A" w:rsidRPr="00ED397F">
        <w:rPr>
          <w:rFonts w:cstheme="minorHAnsi"/>
        </w:rPr>
        <w:t>ed</w:t>
      </w:r>
      <w:r w:rsidR="002E54E0" w:rsidRPr="00ED397F">
        <w:rPr>
          <w:rFonts w:cstheme="minorHAnsi"/>
        </w:rPr>
        <w:t xml:space="preserve"> on making the most of the historic and ecological heritage within the space so that it can be </w:t>
      </w:r>
      <w:r w:rsidR="00F43E91" w:rsidRPr="00ED397F">
        <w:rPr>
          <w:rFonts w:cstheme="minorHAnsi"/>
        </w:rPr>
        <w:t>of</w:t>
      </w:r>
      <w:r w:rsidR="002E54E0" w:rsidRPr="00ED397F">
        <w:rPr>
          <w:rFonts w:cstheme="minorHAnsi"/>
        </w:rPr>
        <w:t xml:space="preserve"> community benefit.  </w:t>
      </w:r>
      <w:r w:rsidR="00AA6E2D" w:rsidRPr="00ED397F">
        <w:rPr>
          <w:rFonts w:cstheme="minorHAnsi"/>
        </w:rPr>
        <w:t xml:space="preserve">Included within the proposals was an intention to </w:t>
      </w:r>
      <w:r w:rsidR="00DE3E5A" w:rsidRPr="00ED397F">
        <w:rPr>
          <w:rFonts w:cstheme="minorHAnsi"/>
        </w:rPr>
        <w:t>apply</w:t>
      </w:r>
      <w:r w:rsidR="003A6B28" w:rsidRPr="00ED397F">
        <w:rPr>
          <w:rFonts w:cstheme="minorHAnsi"/>
        </w:rPr>
        <w:t xml:space="preserve"> for Heritage Lottery funding.  </w:t>
      </w:r>
      <w:r w:rsidR="002E54E0" w:rsidRPr="00ED397F">
        <w:rPr>
          <w:rFonts w:cstheme="minorHAnsi"/>
        </w:rPr>
        <w:t>The public response was overwhelmingly supportive.</w:t>
      </w:r>
      <w:r w:rsidR="003A6B28" w:rsidRPr="00ED397F">
        <w:rPr>
          <w:rFonts w:cstheme="minorHAnsi"/>
        </w:rPr>
        <w:t xml:space="preserve">  </w:t>
      </w:r>
      <w:r w:rsidR="00DE3E5A" w:rsidRPr="00ED397F">
        <w:rPr>
          <w:rFonts w:cstheme="minorHAnsi"/>
        </w:rPr>
        <w:t>However,</w:t>
      </w:r>
      <w:r w:rsidR="003A6B28" w:rsidRPr="00ED397F">
        <w:rPr>
          <w:rFonts w:cstheme="minorHAnsi"/>
        </w:rPr>
        <w:t xml:space="preserve"> the lottery bid cannot proceed until the Parish Council has reached agreement </w:t>
      </w:r>
      <w:r w:rsidR="002E54E0" w:rsidRPr="00ED397F">
        <w:rPr>
          <w:rFonts w:cstheme="minorHAnsi"/>
        </w:rPr>
        <w:t xml:space="preserve">regarding the terms of the </w:t>
      </w:r>
      <w:r w:rsidR="000805B2" w:rsidRPr="00ED397F">
        <w:rPr>
          <w:rFonts w:cstheme="minorHAnsi"/>
        </w:rPr>
        <w:t>125-year</w:t>
      </w:r>
      <w:r w:rsidR="002E54E0" w:rsidRPr="00ED397F">
        <w:rPr>
          <w:rFonts w:cstheme="minorHAnsi"/>
        </w:rPr>
        <w:t xml:space="preserve"> lease of the </w:t>
      </w:r>
      <w:r w:rsidR="004A0974" w:rsidRPr="00ED397F">
        <w:rPr>
          <w:rFonts w:cstheme="minorHAnsi"/>
        </w:rPr>
        <w:t>area</w:t>
      </w:r>
      <w:r w:rsidR="002E54E0" w:rsidRPr="00ED397F">
        <w:rPr>
          <w:rFonts w:cstheme="minorHAnsi"/>
        </w:rPr>
        <w:t xml:space="preserve">. </w:t>
      </w:r>
      <w:r w:rsidR="004A0974" w:rsidRPr="00ED397F">
        <w:rPr>
          <w:rFonts w:cstheme="minorHAnsi"/>
        </w:rPr>
        <w:t xml:space="preserve"> Regretfully</w:t>
      </w:r>
      <w:r w:rsidR="004E009D">
        <w:rPr>
          <w:rFonts w:cstheme="minorHAnsi"/>
        </w:rPr>
        <w:t xml:space="preserve"> </w:t>
      </w:r>
      <w:r w:rsidR="008447C8" w:rsidRPr="00ED397F">
        <w:rPr>
          <w:rFonts w:cstheme="minorHAnsi"/>
        </w:rPr>
        <w:t>agreement</w:t>
      </w:r>
      <w:r w:rsidR="008447C8" w:rsidRPr="00ED397F">
        <w:rPr>
          <w:rFonts w:cstheme="minorHAnsi"/>
          <w:sz w:val="24"/>
          <w:szCs w:val="24"/>
        </w:rPr>
        <w:t xml:space="preserve"> </w:t>
      </w:r>
      <w:r w:rsidR="008447C8" w:rsidRPr="00ED397F">
        <w:rPr>
          <w:rFonts w:cstheme="minorHAnsi"/>
        </w:rPr>
        <w:t xml:space="preserve">has yet to be reached </w:t>
      </w:r>
      <w:r w:rsidR="00770B81" w:rsidRPr="00ED397F">
        <w:rPr>
          <w:rFonts w:cstheme="minorHAnsi"/>
        </w:rPr>
        <w:t xml:space="preserve">between all the stakeholders, </w:t>
      </w:r>
      <w:r w:rsidR="008447C8" w:rsidRPr="00ED397F">
        <w:rPr>
          <w:rFonts w:cstheme="minorHAnsi"/>
        </w:rPr>
        <w:t>despite the best efforts of members of the Parish Council</w:t>
      </w:r>
      <w:r w:rsidR="003A1BE1">
        <w:rPr>
          <w:rFonts w:cstheme="minorHAnsi"/>
        </w:rPr>
        <w:t xml:space="preserve"> and working group</w:t>
      </w:r>
      <w:r w:rsidR="008447C8" w:rsidRPr="00ED397F">
        <w:rPr>
          <w:rFonts w:cstheme="minorHAnsi"/>
        </w:rPr>
        <w:t>.</w:t>
      </w:r>
      <w:r w:rsidR="002E54E0" w:rsidRPr="00ED397F">
        <w:rPr>
          <w:rFonts w:cstheme="minorHAnsi"/>
          <w:sz w:val="24"/>
          <w:szCs w:val="24"/>
        </w:rPr>
        <w:br/>
      </w:r>
    </w:p>
    <w:p w14:paraId="6C7D2ECF" w14:textId="73E253AA" w:rsidR="00D328E9" w:rsidRPr="00B32593" w:rsidRDefault="003A30ED" w:rsidP="000624C7">
      <w:pPr>
        <w:pStyle w:val="ListParagraph"/>
        <w:numPr>
          <w:ilvl w:val="0"/>
          <w:numId w:val="2"/>
        </w:numPr>
        <w:spacing w:line="259" w:lineRule="auto"/>
        <w:jc w:val="left"/>
        <w:rPr>
          <w:rFonts w:cstheme="minorHAnsi"/>
          <w:sz w:val="16"/>
          <w:szCs w:val="16"/>
        </w:rPr>
      </w:pPr>
      <w:r w:rsidRPr="00B32593">
        <w:rPr>
          <w:rFonts w:cstheme="minorHAnsi"/>
          <w:b/>
          <w:bCs/>
        </w:rPr>
        <w:t>Mill Lane</w:t>
      </w:r>
      <w:r w:rsidRPr="00B32593">
        <w:rPr>
          <w:rFonts w:cstheme="minorHAnsi"/>
        </w:rPr>
        <w:t xml:space="preserve"> </w:t>
      </w:r>
      <w:r w:rsidR="00003484" w:rsidRPr="00B32593">
        <w:rPr>
          <w:rFonts w:cstheme="minorHAnsi"/>
        </w:rPr>
        <w:t>open ground</w:t>
      </w:r>
      <w:r w:rsidR="00B32593">
        <w:rPr>
          <w:rFonts w:cstheme="minorHAnsi"/>
        </w:rPr>
        <w:t xml:space="preserve">:  In 2025, </w:t>
      </w:r>
      <w:r w:rsidR="00DA2353" w:rsidRPr="00B32593">
        <w:rPr>
          <w:rFonts w:cstheme="minorHAnsi"/>
        </w:rPr>
        <w:t xml:space="preserve">residents were consulted on </w:t>
      </w:r>
      <w:r w:rsidR="007A09CB" w:rsidRPr="00B32593">
        <w:rPr>
          <w:rFonts w:cstheme="minorHAnsi"/>
        </w:rPr>
        <w:t>the options for the use of this piece of land</w:t>
      </w:r>
      <w:r w:rsidR="00584F30" w:rsidRPr="00B32593">
        <w:rPr>
          <w:rFonts w:cstheme="minorHAnsi"/>
        </w:rPr>
        <w:t xml:space="preserve"> donated to the Parish as part of the </w:t>
      </w:r>
      <w:r w:rsidR="00C04621" w:rsidRPr="00B32593">
        <w:rPr>
          <w:rFonts w:cstheme="minorHAnsi"/>
        </w:rPr>
        <w:t>Section 106 agreement for Bishopsgate</w:t>
      </w:r>
      <w:r w:rsidR="00076DF6" w:rsidRPr="00B32593">
        <w:rPr>
          <w:rFonts w:cstheme="minorHAnsi"/>
        </w:rPr>
        <w:t xml:space="preserve">.  </w:t>
      </w:r>
      <w:r w:rsidR="00D328E9" w:rsidRPr="00B32593">
        <w:rPr>
          <w:rFonts w:cstheme="minorHAnsi"/>
        </w:rPr>
        <w:t>The</w:t>
      </w:r>
      <w:r w:rsidR="00444DFB" w:rsidRPr="00B32593">
        <w:rPr>
          <w:rFonts w:cstheme="minorHAnsi"/>
        </w:rPr>
        <w:t xml:space="preserve"> option to </w:t>
      </w:r>
      <w:r w:rsidR="00D328E9" w:rsidRPr="00B32593">
        <w:rPr>
          <w:rFonts w:cstheme="minorHAnsi"/>
        </w:rPr>
        <w:t xml:space="preserve">include </w:t>
      </w:r>
      <w:r w:rsidR="003E513E" w:rsidRPr="00B32593">
        <w:rPr>
          <w:rFonts w:cstheme="minorHAnsi"/>
        </w:rPr>
        <w:t xml:space="preserve">a change of use for the site from predominantly sports facilities to </w:t>
      </w:r>
      <w:r w:rsidR="00AE323D" w:rsidRPr="00B32593">
        <w:rPr>
          <w:rFonts w:cstheme="minorHAnsi"/>
        </w:rPr>
        <w:t xml:space="preserve">one that while including exercise and </w:t>
      </w:r>
      <w:r w:rsidR="00AE323D" w:rsidRPr="00B32593">
        <w:rPr>
          <w:rFonts w:cstheme="minorHAnsi"/>
        </w:rPr>
        <w:lastRenderedPageBreak/>
        <w:t xml:space="preserve">games use </w:t>
      </w:r>
      <w:r w:rsidR="00077CE9" w:rsidRPr="00B32593">
        <w:rPr>
          <w:rFonts w:cstheme="minorHAnsi"/>
        </w:rPr>
        <w:t>takes advantage of its location alongside the boundary to South Downs Park</w:t>
      </w:r>
      <w:r w:rsidR="00B32593" w:rsidRPr="00B32593">
        <w:rPr>
          <w:rFonts w:cstheme="minorHAnsi"/>
        </w:rPr>
        <w:t xml:space="preserve"> was supported by residents and is now being accepted and agreed by the key stakeholders</w:t>
      </w:r>
      <w:r w:rsidR="00077CE9" w:rsidRPr="00B32593">
        <w:rPr>
          <w:rFonts w:cstheme="minorHAnsi"/>
        </w:rPr>
        <w:t>.</w:t>
      </w:r>
      <w:r w:rsidR="00076DF6" w:rsidRPr="00B32593">
        <w:rPr>
          <w:rFonts w:cstheme="minorHAnsi"/>
        </w:rPr>
        <w:t xml:space="preserve">  </w:t>
      </w:r>
    </w:p>
    <w:p w14:paraId="128EAE8F" w14:textId="77777777" w:rsidR="00B32593" w:rsidRPr="00B32593" w:rsidRDefault="00B32593" w:rsidP="00B32593">
      <w:pPr>
        <w:pStyle w:val="ListParagraph"/>
        <w:spacing w:line="259" w:lineRule="auto"/>
        <w:ind w:left="360"/>
        <w:jc w:val="left"/>
        <w:rPr>
          <w:rFonts w:cstheme="minorHAnsi"/>
          <w:sz w:val="16"/>
          <w:szCs w:val="16"/>
        </w:rPr>
      </w:pPr>
    </w:p>
    <w:p w14:paraId="6553D65A" w14:textId="6564DEB9" w:rsidR="003C059D" w:rsidRPr="003C059D" w:rsidRDefault="003A30ED" w:rsidP="001778F2">
      <w:pPr>
        <w:pStyle w:val="ListParagraph"/>
        <w:numPr>
          <w:ilvl w:val="0"/>
          <w:numId w:val="2"/>
        </w:numPr>
        <w:spacing w:line="259" w:lineRule="auto"/>
        <w:jc w:val="both"/>
        <w:rPr>
          <w:rFonts w:cstheme="minorHAnsi"/>
        </w:rPr>
      </w:pPr>
      <w:r w:rsidRPr="003C059D">
        <w:rPr>
          <w:rFonts w:cstheme="minorHAnsi"/>
          <w:b/>
          <w:bCs/>
        </w:rPr>
        <w:t>Welborne</w:t>
      </w:r>
      <w:r w:rsidR="0013619A">
        <w:rPr>
          <w:rFonts w:cstheme="minorHAnsi"/>
          <w:b/>
          <w:bCs/>
        </w:rPr>
        <w:t xml:space="preserve">: </w:t>
      </w:r>
      <w:r w:rsidR="0013619A" w:rsidRPr="0013619A">
        <w:rPr>
          <w:rFonts w:cstheme="minorHAnsi"/>
        </w:rPr>
        <w:t>M</w:t>
      </w:r>
      <w:r w:rsidR="00131245" w:rsidRPr="003C059D">
        <w:rPr>
          <w:rFonts w:cstheme="minorHAnsi"/>
        </w:rPr>
        <w:t xml:space="preserve">embers of the committee </w:t>
      </w:r>
      <w:r w:rsidR="003E007B" w:rsidRPr="003C059D">
        <w:rPr>
          <w:rFonts w:cstheme="minorHAnsi"/>
        </w:rPr>
        <w:t xml:space="preserve">have </w:t>
      </w:r>
      <w:r w:rsidRPr="003C059D">
        <w:rPr>
          <w:rFonts w:cstheme="minorHAnsi"/>
        </w:rPr>
        <w:t>continue</w:t>
      </w:r>
      <w:r w:rsidR="003E007B" w:rsidRPr="003C059D">
        <w:rPr>
          <w:rFonts w:cstheme="minorHAnsi"/>
        </w:rPr>
        <w:t>d</w:t>
      </w:r>
      <w:r w:rsidRPr="003C059D">
        <w:rPr>
          <w:rFonts w:cstheme="minorHAnsi"/>
        </w:rPr>
        <w:t xml:space="preserve"> to represent the Society on the Welborne Stakeholder Liaison Group and the Fareham Borough Council (FBC) Welborne Community Forum.   </w:t>
      </w:r>
      <w:r w:rsidR="00704478" w:rsidRPr="003C059D">
        <w:rPr>
          <w:rFonts w:cstheme="minorHAnsi"/>
        </w:rPr>
        <w:t>Plans fo</w:t>
      </w:r>
      <w:r w:rsidR="003E007B" w:rsidRPr="003C059D">
        <w:rPr>
          <w:rFonts w:cstheme="minorHAnsi"/>
        </w:rPr>
        <w:t>r</w:t>
      </w:r>
      <w:r w:rsidR="009E62BF" w:rsidRPr="003C059D">
        <w:rPr>
          <w:rFonts w:cstheme="minorHAnsi"/>
        </w:rPr>
        <w:t xml:space="preserve"> the </w:t>
      </w:r>
      <w:r w:rsidR="00AA1139" w:rsidRPr="003C059D">
        <w:rPr>
          <w:rFonts w:cstheme="minorHAnsi"/>
        </w:rPr>
        <w:t xml:space="preserve">first </w:t>
      </w:r>
      <w:r w:rsidR="00091B4A" w:rsidRPr="003C059D">
        <w:rPr>
          <w:rFonts w:cstheme="minorHAnsi"/>
        </w:rPr>
        <w:t>v</w:t>
      </w:r>
      <w:r w:rsidR="009E62BF" w:rsidRPr="003C059D">
        <w:rPr>
          <w:rFonts w:cstheme="minorHAnsi"/>
        </w:rPr>
        <w:t xml:space="preserve">illage </w:t>
      </w:r>
      <w:r w:rsidR="00091B4A" w:rsidRPr="003C059D">
        <w:rPr>
          <w:rFonts w:cstheme="minorHAnsi"/>
        </w:rPr>
        <w:t>c</w:t>
      </w:r>
      <w:r w:rsidR="009E62BF" w:rsidRPr="003C059D">
        <w:rPr>
          <w:rFonts w:cstheme="minorHAnsi"/>
        </w:rPr>
        <w:t>entre with its community hall, cafes, shops pub and houses</w:t>
      </w:r>
      <w:r w:rsidR="00704478" w:rsidRPr="003C059D">
        <w:rPr>
          <w:rFonts w:cstheme="minorHAnsi"/>
        </w:rPr>
        <w:t xml:space="preserve"> have been </w:t>
      </w:r>
      <w:r w:rsidR="00CB47B6" w:rsidRPr="003C059D">
        <w:rPr>
          <w:rFonts w:cstheme="minorHAnsi"/>
        </w:rPr>
        <w:t>accepted,</w:t>
      </w:r>
      <w:r w:rsidR="005A715C" w:rsidRPr="003C059D">
        <w:rPr>
          <w:rFonts w:cstheme="minorHAnsi"/>
        </w:rPr>
        <w:t xml:space="preserve"> and </w:t>
      </w:r>
      <w:r w:rsidR="009E62BF" w:rsidRPr="003C059D">
        <w:rPr>
          <w:rFonts w:cstheme="minorHAnsi"/>
        </w:rPr>
        <w:t>construction</w:t>
      </w:r>
      <w:r w:rsidR="00971E0B" w:rsidRPr="003C059D">
        <w:rPr>
          <w:rFonts w:cstheme="minorHAnsi"/>
        </w:rPr>
        <w:t xml:space="preserve"> has started</w:t>
      </w:r>
      <w:r w:rsidR="009E62BF" w:rsidRPr="003C059D">
        <w:rPr>
          <w:rFonts w:cstheme="minorHAnsi"/>
        </w:rPr>
        <w:t>.</w:t>
      </w:r>
      <w:r w:rsidR="00A15909" w:rsidRPr="003C059D">
        <w:rPr>
          <w:rFonts w:cstheme="minorHAnsi"/>
        </w:rPr>
        <w:t xml:space="preserve">  </w:t>
      </w:r>
      <w:r w:rsidR="0014115E" w:rsidRPr="003C059D">
        <w:rPr>
          <w:rFonts w:cstheme="minorHAnsi"/>
        </w:rPr>
        <w:t xml:space="preserve">The first house on the site </w:t>
      </w:r>
      <w:r w:rsidR="00CB47B6">
        <w:rPr>
          <w:rFonts w:cstheme="minorHAnsi"/>
        </w:rPr>
        <w:t xml:space="preserve">is </w:t>
      </w:r>
      <w:r w:rsidR="00843304">
        <w:rPr>
          <w:rFonts w:cstheme="minorHAnsi"/>
        </w:rPr>
        <w:t>occupied,</w:t>
      </w:r>
      <w:r w:rsidR="00CB47B6">
        <w:rPr>
          <w:rFonts w:cstheme="minorHAnsi"/>
        </w:rPr>
        <w:t xml:space="preserve"> and further sales are taking p</w:t>
      </w:r>
      <w:r w:rsidR="00ED397F">
        <w:rPr>
          <w:rFonts w:cstheme="minorHAnsi"/>
        </w:rPr>
        <w:t>lace.  T</w:t>
      </w:r>
      <w:r w:rsidR="00DA46A0" w:rsidRPr="003C059D">
        <w:rPr>
          <w:rFonts w:cstheme="minorHAnsi"/>
        </w:rPr>
        <w:t xml:space="preserve">he reconfiguration of junction 10 on the </w:t>
      </w:r>
      <w:r w:rsidR="00C77DF7" w:rsidRPr="003C059D">
        <w:rPr>
          <w:rFonts w:cstheme="minorHAnsi"/>
        </w:rPr>
        <w:t xml:space="preserve">M27 </w:t>
      </w:r>
      <w:r w:rsidR="00971E0B" w:rsidRPr="003C059D">
        <w:rPr>
          <w:rFonts w:cstheme="minorHAnsi"/>
        </w:rPr>
        <w:t xml:space="preserve">is </w:t>
      </w:r>
      <w:r w:rsidR="00ED397F">
        <w:rPr>
          <w:rFonts w:cstheme="minorHAnsi"/>
        </w:rPr>
        <w:t>due</w:t>
      </w:r>
      <w:r w:rsidR="00C41EEB" w:rsidRPr="003C059D">
        <w:rPr>
          <w:rFonts w:cstheme="minorHAnsi"/>
        </w:rPr>
        <w:t xml:space="preserve"> to open by the autumn of 2026</w:t>
      </w:r>
      <w:r w:rsidR="00C77DF7" w:rsidRPr="003C059D">
        <w:rPr>
          <w:rFonts w:cstheme="minorHAnsi"/>
        </w:rPr>
        <w:t xml:space="preserve">. </w:t>
      </w:r>
    </w:p>
    <w:p w14:paraId="27EFC320" w14:textId="77777777" w:rsidR="003C059D" w:rsidRPr="003C059D" w:rsidRDefault="003C059D" w:rsidP="003C059D">
      <w:pPr>
        <w:pStyle w:val="ListParagraph"/>
        <w:rPr>
          <w:sz w:val="16"/>
          <w:szCs w:val="16"/>
        </w:rPr>
      </w:pPr>
    </w:p>
    <w:p w14:paraId="66E72723" w14:textId="2C8D6BC1" w:rsidR="00555BD2" w:rsidRDefault="000201C8" w:rsidP="003C059D">
      <w:pPr>
        <w:pStyle w:val="ListParagraph"/>
        <w:numPr>
          <w:ilvl w:val="0"/>
          <w:numId w:val="2"/>
        </w:numPr>
        <w:spacing w:line="259" w:lineRule="auto"/>
        <w:jc w:val="both"/>
        <w:rPr>
          <w:rFonts w:cstheme="minorHAnsi"/>
        </w:rPr>
      </w:pPr>
      <w:r w:rsidRPr="003C059D">
        <w:rPr>
          <w:b/>
          <w:bCs/>
        </w:rPr>
        <w:t>Neighbourhood Plan:</w:t>
      </w:r>
      <w:r>
        <w:t xml:space="preserve"> </w:t>
      </w:r>
      <w:r w:rsidR="00010715">
        <w:rPr>
          <w:rFonts w:cstheme="minorHAnsi"/>
        </w:rPr>
        <w:t xml:space="preserve">The </w:t>
      </w:r>
      <w:r w:rsidR="00DA03A1">
        <w:rPr>
          <w:rFonts w:cstheme="minorHAnsi"/>
        </w:rPr>
        <w:t>Neighbourhood Plan</w:t>
      </w:r>
      <w:r w:rsidR="003C537A">
        <w:rPr>
          <w:rFonts w:cstheme="minorHAnsi"/>
        </w:rPr>
        <w:t>ning</w:t>
      </w:r>
      <w:r w:rsidR="00DA03A1">
        <w:rPr>
          <w:rFonts w:cstheme="minorHAnsi"/>
        </w:rPr>
        <w:t xml:space="preserve"> </w:t>
      </w:r>
      <w:r w:rsidR="00892BED">
        <w:rPr>
          <w:rFonts w:cstheme="minorHAnsi"/>
        </w:rPr>
        <w:t>G</w:t>
      </w:r>
      <w:r w:rsidR="00DA03A1">
        <w:rPr>
          <w:rFonts w:cstheme="minorHAnsi"/>
        </w:rPr>
        <w:t>roup</w:t>
      </w:r>
      <w:r w:rsidR="00010715">
        <w:rPr>
          <w:rFonts w:cstheme="minorHAnsi"/>
        </w:rPr>
        <w:t xml:space="preserve"> has been in operation </w:t>
      </w:r>
      <w:r w:rsidR="006D1115">
        <w:rPr>
          <w:rFonts w:cstheme="minorHAnsi"/>
        </w:rPr>
        <w:t>for the last year</w:t>
      </w:r>
      <w:r w:rsidR="00940A08">
        <w:rPr>
          <w:rFonts w:cstheme="minorHAnsi"/>
        </w:rPr>
        <w:t xml:space="preserve"> under the chairmanship of </w:t>
      </w:r>
      <w:r w:rsidR="008E56D4">
        <w:rPr>
          <w:rFonts w:cstheme="minorHAnsi"/>
        </w:rPr>
        <w:t>Philip Greenish with Kim Donald as Vice Chair</w:t>
      </w:r>
      <w:r w:rsidR="003C537A">
        <w:rPr>
          <w:rFonts w:cstheme="minorHAnsi"/>
        </w:rPr>
        <w:t>, with representation from both Knowle and Wickham</w:t>
      </w:r>
      <w:r w:rsidR="00940A08">
        <w:rPr>
          <w:rFonts w:cstheme="minorHAnsi"/>
        </w:rPr>
        <w:t>, including Parish Councillors</w:t>
      </w:r>
      <w:r w:rsidR="008E56D4">
        <w:rPr>
          <w:rFonts w:cstheme="minorHAnsi"/>
        </w:rPr>
        <w:t>.</w:t>
      </w:r>
      <w:r w:rsidR="00940A08">
        <w:rPr>
          <w:rFonts w:cstheme="minorHAnsi"/>
        </w:rPr>
        <w:t xml:space="preserve">  </w:t>
      </w:r>
      <w:r w:rsidR="000A5058">
        <w:rPr>
          <w:rFonts w:cstheme="minorHAnsi"/>
        </w:rPr>
        <w:t>In 2025, the committee undertook their first consultation with residents</w:t>
      </w:r>
      <w:r w:rsidR="00851C35">
        <w:rPr>
          <w:rFonts w:cstheme="minorHAnsi"/>
        </w:rPr>
        <w:t>.</w:t>
      </w:r>
      <w:r w:rsidR="002A4F22">
        <w:rPr>
          <w:rFonts w:cstheme="minorHAnsi"/>
        </w:rPr>
        <w:t xml:space="preserve">  </w:t>
      </w:r>
      <w:r w:rsidR="0098582D">
        <w:rPr>
          <w:rFonts w:cstheme="minorHAnsi"/>
        </w:rPr>
        <w:t xml:space="preserve">The </w:t>
      </w:r>
      <w:r w:rsidR="00542AB9">
        <w:rPr>
          <w:rFonts w:cstheme="minorHAnsi"/>
        </w:rPr>
        <w:t xml:space="preserve">response </w:t>
      </w:r>
      <w:r w:rsidR="00851C35">
        <w:rPr>
          <w:rFonts w:cstheme="minorHAnsi"/>
        </w:rPr>
        <w:t xml:space="preserve">regarding their proposed vision and priorities </w:t>
      </w:r>
      <w:r w:rsidR="00542AB9">
        <w:rPr>
          <w:rFonts w:cstheme="minorHAnsi"/>
        </w:rPr>
        <w:t xml:space="preserve">was </w:t>
      </w:r>
      <w:r w:rsidR="00892BED">
        <w:rPr>
          <w:rFonts w:cstheme="minorHAnsi"/>
        </w:rPr>
        <w:t xml:space="preserve">overwhelmingly </w:t>
      </w:r>
      <w:r w:rsidR="00542AB9">
        <w:rPr>
          <w:rFonts w:cstheme="minorHAnsi"/>
        </w:rPr>
        <w:t xml:space="preserve">positive </w:t>
      </w:r>
      <w:r w:rsidR="0098582D">
        <w:rPr>
          <w:rFonts w:cstheme="minorHAnsi"/>
        </w:rPr>
        <w:t xml:space="preserve">and now the </w:t>
      </w:r>
      <w:r w:rsidR="00892BED">
        <w:rPr>
          <w:rFonts w:cstheme="minorHAnsi"/>
        </w:rPr>
        <w:t>group</w:t>
      </w:r>
      <w:r w:rsidR="0098582D">
        <w:rPr>
          <w:rFonts w:cstheme="minorHAnsi"/>
        </w:rPr>
        <w:t xml:space="preserve"> is working on the policies that will underpin </w:t>
      </w:r>
      <w:r w:rsidR="007621E3">
        <w:rPr>
          <w:rFonts w:cstheme="minorHAnsi"/>
        </w:rPr>
        <w:t>the</w:t>
      </w:r>
      <w:r w:rsidR="00851C35">
        <w:rPr>
          <w:rFonts w:cstheme="minorHAnsi"/>
        </w:rPr>
        <w:t>m</w:t>
      </w:r>
      <w:r w:rsidR="007621E3">
        <w:rPr>
          <w:rFonts w:cstheme="minorHAnsi"/>
        </w:rPr>
        <w:t>.</w:t>
      </w:r>
      <w:r w:rsidR="00EF4A05">
        <w:rPr>
          <w:rFonts w:cstheme="minorHAnsi"/>
        </w:rPr>
        <w:t xml:space="preserve">  More information about the Grou</w:t>
      </w:r>
      <w:r w:rsidR="003C5873">
        <w:rPr>
          <w:rFonts w:cstheme="minorHAnsi"/>
        </w:rPr>
        <w:t xml:space="preserve">p’s activities can be found at </w:t>
      </w:r>
      <w:hyperlink r:id="rId9" w:history="1">
        <w:r w:rsidR="003C5873" w:rsidRPr="003C5873">
          <w:rPr>
            <w:rStyle w:val="Hyperlink"/>
            <w:rFonts w:cstheme="minorHAnsi"/>
          </w:rPr>
          <w:t>Neighbourhood Plan | Wickham and Knowle Parish Council</w:t>
        </w:r>
      </w:hyperlink>
      <w:r w:rsidR="003C5873">
        <w:rPr>
          <w:rFonts w:cstheme="minorHAnsi"/>
        </w:rPr>
        <w:t xml:space="preserve"> .</w:t>
      </w:r>
      <w:r w:rsidR="006E6088">
        <w:rPr>
          <w:rFonts w:cstheme="minorHAnsi"/>
        </w:rPr>
        <w:tab/>
      </w:r>
    </w:p>
    <w:p w14:paraId="001221AD" w14:textId="19ED3865" w:rsidR="006D1115" w:rsidRDefault="006D1115" w:rsidP="00ED397F">
      <w:pPr>
        <w:jc w:val="left"/>
        <w:rPr>
          <w:rFonts w:cstheme="minorHAnsi"/>
        </w:rPr>
      </w:pPr>
    </w:p>
    <w:p w14:paraId="4EC48443" w14:textId="77777777" w:rsidR="00A274B3" w:rsidRDefault="00A274B3" w:rsidP="00A274B3">
      <w:pPr>
        <w:jc w:val="left"/>
        <w:rPr>
          <w:rFonts w:cstheme="minorHAnsi"/>
        </w:rPr>
      </w:pPr>
      <w:r w:rsidRPr="009B6276">
        <w:rPr>
          <w:rFonts w:cstheme="minorHAnsi"/>
          <w:b/>
          <w:bCs/>
        </w:rPr>
        <w:t>Thank you:</w:t>
      </w:r>
      <w:r>
        <w:rPr>
          <w:rFonts w:cstheme="minorHAnsi"/>
        </w:rPr>
        <w:t xml:space="preserve">  The running of an organisation such as the Society takes a team effort.  I thank my fellow committee members for their time, talents and interest and support to me and the Society.  I also take this opportunity to thank Steve Brown for his assistance in maintaining our website and to Rosemary O’Leary for her meticulous attention to detail in undertaking our financial audit.  </w:t>
      </w:r>
    </w:p>
    <w:p w14:paraId="6412F014" w14:textId="77777777" w:rsidR="00A274B3" w:rsidRDefault="00A274B3" w:rsidP="00A274B3">
      <w:pPr>
        <w:rPr>
          <w:rFonts w:cstheme="minorHAnsi"/>
        </w:rPr>
      </w:pPr>
      <w:r>
        <w:rPr>
          <w:rFonts w:cstheme="minorHAnsi"/>
        </w:rPr>
        <w:t xml:space="preserve">Wendy Greenish (Chairman) </w:t>
      </w:r>
    </w:p>
    <w:p w14:paraId="23F024E7" w14:textId="77777777" w:rsidR="00A274B3" w:rsidRDefault="00A274B3" w:rsidP="00EC1D49">
      <w:pPr>
        <w:jc w:val="both"/>
        <w:rPr>
          <w:rFonts w:cstheme="minorHAnsi"/>
        </w:rPr>
      </w:pPr>
    </w:p>
    <w:p w14:paraId="22EC897F" w14:textId="7BB32DC7" w:rsidR="00EC1D49" w:rsidRPr="00957576" w:rsidRDefault="00EC1D49" w:rsidP="00EC1D49">
      <w:pPr>
        <w:jc w:val="both"/>
        <w:rPr>
          <w:rFonts w:cstheme="minorHAnsi"/>
        </w:rPr>
      </w:pPr>
      <w:r w:rsidRPr="00957576">
        <w:rPr>
          <w:rFonts w:cstheme="minorHAnsi"/>
        </w:rPr>
        <w:t xml:space="preserve">There were no questions raised about the </w:t>
      </w:r>
      <w:r>
        <w:rPr>
          <w:rFonts w:cstheme="minorHAnsi"/>
        </w:rPr>
        <w:t xml:space="preserve">items and topics covered in the </w:t>
      </w:r>
      <w:r w:rsidRPr="00957576">
        <w:rPr>
          <w:rFonts w:cstheme="minorHAnsi"/>
        </w:rPr>
        <w:t>report</w:t>
      </w:r>
      <w:r>
        <w:rPr>
          <w:rFonts w:cstheme="minorHAnsi"/>
        </w:rPr>
        <w:t>, and therefore Wendy handed over to Brian for his report as detailed below:</w:t>
      </w:r>
    </w:p>
    <w:p w14:paraId="496351DC" w14:textId="77777777" w:rsidR="00AA465F" w:rsidRDefault="00AA465F" w:rsidP="00ED397F">
      <w:pPr>
        <w:jc w:val="left"/>
        <w:rPr>
          <w:rFonts w:cstheme="minorHAnsi"/>
        </w:rPr>
      </w:pPr>
    </w:p>
    <w:p w14:paraId="2828BAC2" w14:textId="3CDE087D" w:rsidR="00CD23F2" w:rsidRPr="00AE196D" w:rsidRDefault="002B10CF" w:rsidP="003A30ED">
      <w:pPr>
        <w:jc w:val="left"/>
        <w:rPr>
          <w:rFonts w:cstheme="minorHAnsi"/>
          <w:b/>
          <w:bCs/>
          <w:sz w:val="28"/>
          <w:szCs w:val="28"/>
        </w:rPr>
      </w:pPr>
      <w:r w:rsidRPr="00AE196D">
        <w:rPr>
          <w:rFonts w:cstheme="minorHAnsi"/>
          <w:b/>
          <w:bCs/>
          <w:sz w:val="28"/>
          <w:szCs w:val="28"/>
        </w:rPr>
        <w:t>Treasurer’s Report</w:t>
      </w:r>
      <w:r w:rsidR="00AE196D">
        <w:rPr>
          <w:rFonts w:cstheme="minorHAnsi"/>
          <w:b/>
          <w:bCs/>
          <w:sz w:val="28"/>
          <w:szCs w:val="28"/>
        </w:rPr>
        <w:t xml:space="preserve"> for 2025</w:t>
      </w:r>
    </w:p>
    <w:p w14:paraId="42BF1DAC" w14:textId="2F29BC91" w:rsidR="00CD23F2" w:rsidRPr="00CD23F2" w:rsidRDefault="00CD23F2" w:rsidP="00CD23F2">
      <w:pPr>
        <w:jc w:val="left"/>
        <w:rPr>
          <w:rFonts w:cstheme="minorHAnsi"/>
        </w:rPr>
      </w:pPr>
      <w:r w:rsidRPr="00CD23F2">
        <w:rPr>
          <w:rFonts w:cstheme="minorHAnsi"/>
          <w:b/>
          <w:bCs/>
        </w:rPr>
        <w:t>Overview</w:t>
      </w:r>
      <w:r w:rsidR="005B491F">
        <w:rPr>
          <w:rFonts w:cstheme="minorHAnsi"/>
          <w:b/>
          <w:bCs/>
        </w:rPr>
        <w:t xml:space="preserve">:  </w:t>
      </w:r>
      <w:r w:rsidRPr="00CD23F2">
        <w:rPr>
          <w:rFonts w:cstheme="minorHAnsi"/>
        </w:rPr>
        <w:t>Full details are shown in the Income and Expenditure Account</w:t>
      </w:r>
      <w:r w:rsidR="00710145">
        <w:rPr>
          <w:rFonts w:cstheme="minorHAnsi"/>
        </w:rPr>
        <w:t xml:space="preserve"> </w:t>
      </w:r>
      <w:r w:rsidR="00E36E2E">
        <w:rPr>
          <w:rFonts w:cstheme="minorHAnsi"/>
        </w:rPr>
        <w:t>on page 5</w:t>
      </w:r>
      <w:r w:rsidRPr="00CD23F2">
        <w:rPr>
          <w:rFonts w:cstheme="minorHAnsi"/>
        </w:rPr>
        <w:t xml:space="preserve">. The accounts closed with a satisfactory balance, just short of £700 at </w:t>
      </w:r>
      <w:r w:rsidR="009A50CB">
        <w:rPr>
          <w:rFonts w:cstheme="minorHAnsi"/>
        </w:rPr>
        <w:t>year e</w:t>
      </w:r>
      <w:r w:rsidRPr="00CD23F2">
        <w:rPr>
          <w:rFonts w:cstheme="minorHAnsi"/>
        </w:rPr>
        <w:t xml:space="preserve">nd. Although the funds showed a small loss over the period (£2.94), this was not unexpected as the increase in </w:t>
      </w:r>
      <w:r w:rsidR="009A50CB">
        <w:rPr>
          <w:rFonts w:cstheme="minorHAnsi"/>
        </w:rPr>
        <w:t>m</w:t>
      </w:r>
      <w:r w:rsidRPr="00CD23F2">
        <w:rPr>
          <w:rFonts w:cstheme="minorHAnsi"/>
        </w:rPr>
        <w:t xml:space="preserve">embership subscription agreed at </w:t>
      </w:r>
      <w:r w:rsidR="009A50CB">
        <w:rPr>
          <w:rFonts w:cstheme="minorHAnsi"/>
        </w:rPr>
        <w:t>the</w:t>
      </w:r>
      <w:r w:rsidRPr="00CD23F2">
        <w:rPr>
          <w:rFonts w:cstheme="minorHAnsi"/>
        </w:rPr>
        <w:t xml:space="preserve"> AGM </w:t>
      </w:r>
      <w:r w:rsidR="009A50CB">
        <w:rPr>
          <w:rFonts w:cstheme="minorHAnsi"/>
        </w:rPr>
        <w:t xml:space="preserve">last year </w:t>
      </w:r>
      <w:r w:rsidRPr="00CD23F2">
        <w:rPr>
          <w:rFonts w:cstheme="minorHAnsi"/>
        </w:rPr>
        <w:t>did not come into force until January 2026.</w:t>
      </w:r>
    </w:p>
    <w:p w14:paraId="0532C267" w14:textId="77777777" w:rsidR="005B491F" w:rsidRPr="005B491F" w:rsidRDefault="005B491F" w:rsidP="00CD23F2">
      <w:pPr>
        <w:jc w:val="left"/>
        <w:rPr>
          <w:rFonts w:cstheme="minorHAnsi"/>
          <w:b/>
          <w:bCs/>
          <w:sz w:val="16"/>
          <w:szCs w:val="16"/>
        </w:rPr>
      </w:pPr>
    </w:p>
    <w:p w14:paraId="232826A6" w14:textId="430CAFA4" w:rsidR="00CD23F2" w:rsidRPr="00CD23F2" w:rsidRDefault="00CD23F2" w:rsidP="00CD23F2">
      <w:pPr>
        <w:jc w:val="left"/>
        <w:rPr>
          <w:rFonts w:cstheme="minorHAnsi"/>
        </w:rPr>
      </w:pPr>
      <w:r w:rsidRPr="00CD23F2">
        <w:rPr>
          <w:rFonts w:cstheme="minorHAnsi"/>
          <w:b/>
          <w:bCs/>
        </w:rPr>
        <w:t>Income</w:t>
      </w:r>
      <w:r w:rsidR="005B491F">
        <w:rPr>
          <w:rFonts w:cstheme="minorHAnsi"/>
          <w:b/>
          <w:bCs/>
        </w:rPr>
        <w:t xml:space="preserve">:  </w:t>
      </w:r>
      <w:r w:rsidRPr="00CD23F2">
        <w:rPr>
          <w:rFonts w:cstheme="minorHAnsi"/>
        </w:rPr>
        <w:t>Membership numbers were marginally down on 2024 (78 compared with 80), but not enough to be of concern.</w:t>
      </w:r>
      <w:r w:rsidR="00BD1E0B">
        <w:rPr>
          <w:rFonts w:cstheme="minorHAnsi"/>
        </w:rPr>
        <w:t xml:space="preserve"> </w:t>
      </w:r>
      <w:r w:rsidRPr="00CD23F2">
        <w:rPr>
          <w:rFonts w:cstheme="minorHAnsi"/>
        </w:rPr>
        <w:t>Visitor contributions were boosted once again by a “popular” meeting, this time the presentation about the M27 box-slide project in November. The 21 visitors at that meeting paid the increased fee of £2.50 per head</w:t>
      </w:r>
      <w:r w:rsidR="00E833FE">
        <w:rPr>
          <w:rFonts w:cstheme="minorHAnsi"/>
        </w:rPr>
        <w:t>, introduced from September 2025</w:t>
      </w:r>
      <w:r w:rsidRPr="00CD23F2">
        <w:rPr>
          <w:rFonts w:cstheme="minorHAnsi"/>
        </w:rPr>
        <w:t>.</w:t>
      </w:r>
    </w:p>
    <w:p w14:paraId="671B2C51" w14:textId="77777777" w:rsidR="00D74C5F" w:rsidRPr="00D74C5F" w:rsidRDefault="00D74C5F" w:rsidP="00CD23F2">
      <w:pPr>
        <w:jc w:val="left"/>
        <w:rPr>
          <w:rFonts w:cstheme="minorHAnsi"/>
          <w:sz w:val="16"/>
          <w:szCs w:val="16"/>
        </w:rPr>
      </w:pPr>
    </w:p>
    <w:p w14:paraId="565F7E8D" w14:textId="498FE3DF" w:rsidR="00CD23F2" w:rsidRPr="00CD23F2" w:rsidRDefault="00CD23F2" w:rsidP="00CD23F2">
      <w:pPr>
        <w:jc w:val="left"/>
        <w:rPr>
          <w:rFonts w:cstheme="minorHAnsi"/>
        </w:rPr>
      </w:pPr>
      <w:r w:rsidRPr="00CD23F2">
        <w:rPr>
          <w:rFonts w:cstheme="minorHAnsi"/>
        </w:rPr>
        <w:t>Overall, our 2025 income was a little under £47 down on the 2024 figure, but the latter had been boosted by an unforeseen ex gratia payment of £30</w:t>
      </w:r>
      <w:r w:rsidR="00FA7022">
        <w:rPr>
          <w:rFonts w:cstheme="minorHAnsi"/>
        </w:rPr>
        <w:t xml:space="preserve"> from Lloyds Bank</w:t>
      </w:r>
      <w:r w:rsidRPr="00CD23F2">
        <w:rPr>
          <w:rFonts w:cstheme="minorHAnsi"/>
        </w:rPr>
        <w:t>.</w:t>
      </w:r>
    </w:p>
    <w:p w14:paraId="6DDC630D" w14:textId="77777777" w:rsidR="005B491F" w:rsidRPr="005B491F" w:rsidRDefault="005B491F" w:rsidP="00CD23F2">
      <w:pPr>
        <w:jc w:val="left"/>
        <w:rPr>
          <w:rFonts w:cstheme="minorHAnsi"/>
          <w:b/>
          <w:bCs/>
          <w:sz w:val="16"/>
          <w:szCs w:val="16"/>
        </w:rPr>
      </w:pPr>
    </w:p>
    <w:p w14:paraId="57BFD0EB" w14:textId="6C28C070" w:rsidR="00CD23F2" w:rsidRPr="00CD23F2" w:rsidRDefault="00CD23F2" w:rsidP="00CD23F2">
      <w:pPr>
        <w:jc w:val="left"/>
        <w:rPr>
          <w:rFonts w:cstheme="minorHAnsi"/>
        </w:rPr>
      </w:pPr>
      <w:r w:rsidRPr="00CD23F2">
        <w:rPr>
          <w:rFonts w:cstheme="minorHAnsi"/>
          <w:b/>
          <w:bCs/>
        </w:rPr>
        <w:t>Expenditure</w:t>
      </w:r>
      <w:r w:rsidR="005B491F">
        <w:rPr>
          <w:rFonts w:cstheme="minorHAnsi"/>
          <w:b/>
          <w:bCs/>
        </w:rPr>
        <w:t xml:space="preserve">: </w:t>
      </w:r>
      <w:r w:rsidRPr="00CD23F2">
        <w:rPr>
          <w:rFonts w:cstheme="minorHAnsi"/>
        </w:rPr>
        <w:t xml:space="preserve">Despite the introduction of </w:t>
      </w:r>
      <w:r w:rsidR="007B7527">
        <w:rPr>
          <w:rFonts w:cstheme="minorHAnsi"/>
        </w:rPr>
        <w:t>b</w:t>
      </w:r>
      <w:r w:rsidRPr="00CD23F2">
        <w:rPr>
          <w:rFonts w:cstheme="minorHAnsi"/>
        </w:rPr>
        <w:t xml:space="preserve">ank </w:t>
      </w:r>
      <w:r w:rsidR="007B7527">
        <w:rPr>
          <w:rFonts w:cstheme="minorHAnsi"/>
        </w:rPr>
        <w:t>c</w:t>
      </w:r>
      <w:r w:rsidRPr="00CD23F2">
        <w:rPr>
          <w:rFonts w:cstheme="minorHAnsi"/>
        </w:rPr>
        <w:t xml:space="preserve">harges (£43.83), and increased room-hire charges, we still managed to spend a shade less than in 2024. </w:t>
      </w:r>
      <w:r w:rsidR="00516236">
        <w:rPr>
          <w:rFonts w:cstheme="minorHAnsi"/>
        </w:rPr>
        <w:t xml:space="preserve"> </w:t>
      </w:r>
      <w:r w:rsidRPr="00CD23F2">
        <w:rPr>
          <w:rFonts w:cstheme="minorHAnsi"/>
        </w:rPr>
        <w:t xml:space="preserve">A pleasing number of members paid their </w:t>
      </w:r>
      <w:r w:rsidR="007B7527">
        <w:rPr>
          <w:rFonts w:cstheme="minorHAnsi"/>
        </w:rPr>
        <w:t>s</w:t>
      </w:r>
      <w:r w:rsidRPr="00CD23F2">
        <w:rPr>
          <w:rFonts w:cstheme="minorHAnsi"/>
        </w:rPr>
        <w:t xml:space="preserve">ubscriptions on-line by direct BACS transfer. This method of payment does not incur extra </w:t>
      </w:r>
      <w:r w:rsidR="000523BD">
        <w:rPr>
          <w:rFonts w:cstheme="minorHAnsi"/>
        </w:rPr>
        <w:t>b</w:t>
      </w:r>
      <w:r w:rsidRPr="00CD23F2">
        <w:rPr>
          <w:rFonts w:cstheme="minorHAnsi"/>
        </w:rPr>
        <w:t xml:space="preserve">ank </w:t>
      </w:r>
      <w:r w:rsidR="000523BD">
        <w:rPr>
          <w:rFonts w:cstheme="minorHAnsi"/>
        </w:rPr>
        <w:t>c</w:t>
      </w:r>
      <w:r w:rsidRPr="00CD23F2">
        <w:rPr>
          <w:rFonts w:cstheme="minorHAnsi"/>
        </w:rPr>
        <w:t>harges.</w:t>
      </w:r>
    </w:p>
    <w:p w14:paraId="334B02DB" w14:textId="77777777" w:rsidR="000E5CF6" w:rsidRPr="000E5CF6" w:rsidRDefault="000E5CF6" w:rsidP="00CD23F2">
      <w:pPr>
        <w:jc w:val="left"/>
        <w:rPr>
          <w:rFonts w:cstheme="minorHAnsi"/>
          <w:sz w:val="16"/>
          <w:szCs w:val="16"/>
        </w:rPr>
      </w:pPr>
    </w:p>
    <w:p w14:paraId="74BEB25E" w14:textId="219D86D9" w:rsidR="00CD23F2" w:rsidRPr="00CD23F2" w:rsidRDefault="00CD23F2" w:rsidP="00CD23F2">
      <w:pPr>
        <w:jc w:val="left"/>
        <w:rPr>
          <w:rFonts w:cstheme="minorHAnsi"/>
        </w:rPr>
      </w:pPr>
      <w:r w:rsidRPr="00CD23F2">
        <w:rPr>
          <w:rFonts w:cstheme="minorHAnsi"/>
        </w:rPr>
        <w:t xml:space="preserve">Donations </w:t>
      </w:r>
      <w:r w:rsidR="00942029">
        <w:rPr>
          <w:rFonts w:cstheme="minorHAnsi"/>
        </w:rPr>
        <w:t>are</w:t>
      </w:r>
      <w:r w:rsidRPr="00CD23F2">
        <w:rPr>
          <w:rFonts w:cstheme="minorHAnsi"/>
        </w:rPr>
        <w:t xml:space="preserve"> made to the </w:t>
      </w:r>
      <w:r w:rsidR="00942029">
        <w:rPr>
          <w:rFonts w:cstheme="minorHAnsi"/>
        </w:rPr>
        <w:t>c</w:t>
      </w:r>
      <w:r w:rsidRPr="00CD23F2">
        <w:rPr>
          <w:rFonts w:cstheme="minorHAnsi"/>
        </w:rPr>
        <w:t>harities who present at our meetings, along with gifts to our individual speakers, who often pass these gifts on to a chosen charity.</w:t>
      </w:r>
    </w:p>
    <w:p w14:paraId="64BE6788" w14:textId="77777777" w:rsidR="005B491F" w:rsidRPr="005B491F" w:rsidRDefault="005B491F" w:rsidP="00CD23F2">
      <w:pPr>
        <w:jc w:val="left"/>
        <w:rPr>
          <w:rFonts w:cstheme="minorHAnsi"/>
          <w:b/>
          <w:bCs/>
          <w:sz w:val="16"/>
          <w:szCs w:val="16"/>
        </w:rPr>
      </w:pPr>
    </w:p>
    <w:p w14:paraId="36CCB74F" w14:textId="40CF88E7" w:rsidR="00CD23F2" w:rsidRPr="00CD23F2" w:rsidRDefault="00CD23F2" w:rsidP="00CD23F2">
      <w:pPr>
        <w:jc w:val="left"/>
        <w:rPr>
          <w:rFonts w:cstheme="minorHAnsi"/>
        </w:rPr>
      </w:pPr>
      <w:r w:rsidRPr="00CD23F2">
        <w:rPr>
          <w:rFonts w:cstheme="minorHAnsi"/>
          <w:b/>
          <w:bCs/>
        </w:rPr>
        <w:t>Balance</w:t>
      </w:r>
      <w:r w:rsidR="005B491F">
        <w:rPr>
          <w:rFonts w:cstheme="minorHAnsi"/>
          <w:b/>
          <w:bCs/>
        </w:rPr>
        <w:t xml:space="preserve">: </w:t>
      </w:r>
      <w:r w:rsidRPr="00CD23F2">
        <w:rPr>
          <w:rFonts w:cstheme="minorHAnsi"/>
        </w:rPr>
        <w:t xml:space="preserve">Essentially, we broke even in 2025 (£2.94 excess of </w:t>
      </w:r>
      <w:r w:rsidR="005630DE">
        <w:rPr>
          <w:rFonts w:cstheme="minorHAnsi"/>
        </w:rPr>
        <w:t>e</w:t>
      </w:r>
      <w:r w:rsidRPr="00CD23F2">
        <w:rPr>
          <w:rFonts w:cstheme="minorHAnsi"/>
        </w:rPr>
        <w:t xml:space="preserve">xpenditure over </w:t>
      </w:r>
      <w:r w:rsidR="005630DE">
        <w:rPr>
          <w:rFonts w:cstheme="minorHAnsi"/>
        </w:rPr>
        <w:t>i</w:t>
      </w:r>
      <w:r w:rsidRPr="00CD23F2">
        <w:rPr>
          <w:rFonts w:cstheme="minorHAnsi"/>
        </w:rPr>
        <w:t>ncome), and our funds balance is still healthy.</w:t>
      </w:r>
    </w:p>
    <w:p w14:paraId="4A17BEA2" w14:textId="77777777" w:rsidR="005B491F" w:rsidRPr="005B491F" w:rsidRDefault="005B491F" w:rsidP="00CD23F2">
      <w:pPr>
        <w:jc w:val="left"/>
        <w:rPr>
          <w:rFonts w:cstheme="minorHAnsi"/>
          <w:b/>
          <w:bCs/>
          <w:sz w:val="16"/>
          <w:szCs w:val="16"/>
        </w:rPr>
      </w:pPr>
    </w:p>
    <w:p w14:paraId="5EAB6142" w14:textId="09C4981D" w:rsidR="00CD23F2" w:rsidRPr="00CD23F2" w:rsidRDefault="00CD23F2" w:rsidP="00CD23F2">
      <w:pPr>
        <w:jc w:val="left"/>
        <w:rPr>
          <w:rFonts w:cstheme="minorHAnsi"/>
        </w:rPr>
      </w:pPr>
      <w:r w:rsidRPr="00CD23F2">
        <w:rPr>
          <w:rFonts w:cstheme="minorHAnsi"/>
          <w:b/>
          <w:bCs/>
        </w:rPr>
        <w:t>Looking forward</w:t>
      </w:r>
      <w:r w:rsidR="005B491F">
        <w:rPr>
          <w:rFonts w:cstheme="minorHAnsi"/>
          <w:b/>
          <w:bCs/>
        </w:rPr>
        <w:t xml:space="preserve">:  </w:t>
      </w:r>
      <w:r w:rsidRPr="00CD23F2">
        <w:rPr>
          <w:rFonts w:cstheme="minorHAnsi"/>
        </w:rPr>
        <w:t xml:space="preserve">Our increased subscription rate of £8 per </w:t>
      </w:r>
      <w:r w:rsidR="00E12F80">
        <w:rPr>
          <w:rFonts w:cstheme="minorHAnsi"/>
        </w:rPr>
        <w:t>m</w:t>
      </w:r>
      <w:r w:rsidRPr="00CD23F2">
        <w:rPr>
          <w:rFonts w:cstheme="minorHAnsi"/>
        </w:rPr>
        <w:t>ember has come into force</w:t>
      </w:r>
      <w:r w:rsidR="005C3F6D">
        <w:rPr>
          <w:rFonts w:cstheme="minorHAnsi"/>
        </w:rPr>
        <w:t xml:space="preserve"> and we have </w:t>
      </w:r>
      <w:r w:rsidR="00A812B3">
        <w:rPr>
          <w:rFonts w:cstheme="minorHAnsi"/>
        </w:rPr>
        <w:t xml:space="preserve">approaching 70 </w:t>
      </w:r>
      <w:r w:rsidRPr="00CD23F2">
        <w:rPr>
          <w:rFonts w:cstheme="minorHAnsi"/>
        </w:rPr>
        <w:t>renewals to date, which is a good steady start.</w:t>
      </w:r>
      <w:r w:rsidR="005B491F">
        <w:rPr>
          <w:rFonts w:cstheme="minorHAnsi"/>
        </w:rPr>
        <w:t xml:space="preserve"> </w:t>
      </w:r>
      <w:r w:rsidRPr="00CD23F2">
        <w:rPr>
          <w:rFonts w:cstheme="minorHAnsi"/>
        </w:rPr>
        <w:t xml:space="preserve">Providing that there is no significant fall in our income, or major unforeseen increases in our costs, we can reasonably expect to break even in 2026. Our bank balance </w:t>
      </w:r>
      <w:r w:rsidR="00B2046A">
        <w:rPr>
          <w:rFonts w:cstheme="minorHAnsi"/>
        </w:rPr>
        <w:t>also</w:t>
      </w:r>
      <w:r w:rsidRPr="00CD23F2">
        <w:rPr>
          <w:rFonts w:cstheme="minorHAnsi"/>
        </w:rPr>
        <w:t xml:space="preserve"> give</w:t>
      </w:r>
      <w:r w:rsidR="00B2046A">
        <w:rPr>
          <w:rFonts w:cstheme="minorHAnsi"/>
        </w:rPr>
        <w:t>s</w:t>
      </w:r>
      <w:r w:rsidRPr="00CD23F2">
        <w:rPr>
          <w:rFonts w:cstheme="minorHAnsi"/>
        </w:rPr>
        <w:t xml:space="preserve"> us a 1-year buffer against any </w:t>
      </w:r>
      <w:r w:rsidR="00C549C2">
        <w:rPr>
          <w:rFonts w:cstheme="minorHAnsi"/>
        </w:rPr>
        <w:t>shortfall</w:t>
      </w:r>
      <w:r w:rsidRPr="00CD23F2">
        <w:rPr>
          <w:rFonts w:cstheme="minorHAnsi"/>
        </w:rPr>
        <w:t>.</w:t>
      </w:r>
      <w:r w:rsidR="00C549C2">
        <w:rPr>
          <w:rFonts w:cstheme="minorHAnsi"/>
        </w:rPr>
        <w:t xml:space="preserve"> </w:t>
      </w:r>
      <w:r w:rsidRPr="00CD23F2">
        <w:rPr>
          <w:rFonts w:cstheme="minorHAnsi"/>
        </w:rPr>
        <w:t xml:space="preserve">Given this situation, I see no reason to recommend any </w:t>
      </w:r>
      <w:r w:rsidR="00EE344A">
        <w:rPr>
          <w:rFonts w:cstheme="minorHAnsi"/>
        </w:rPr>
        <w:t xml:space="preserve">further </w:t>
      </w:r>
      <w:r w:rsidRPr="00CD23F2">
        <w:rPr>
          <w:rFonts w:cstheme="minorHAnsi"/>
        </w:rPr>
        <w:t>changes at this time.</w:t>
      </w:r>
    </w:p>
    <w:p w14:paraId="0ADF0A8D" w14:textId="77777777" w:rsidR="00C549C2" w:rsidRPr="00C549C2" w:rsidRDefault="00C549C2" w:rsidP="00CD23F2">
      <w:pPr>
        <w:jc w:val="left"/>
        <w:rPr>
          <w:rFonts w:cstheme="minorHAnsi"/>
          <w:sz w:val="16"/>
          <w:szCs w:val="16"/>
        </w:rPr>
      </w:pPr>
    </w:p>
    <w:p w14:paraId="6FBF0334" w14:textId="398E1A56" w:rsidR="00CD23F2" w:rsidRPr="00CD23F2" w:rsidRDefault="00CD23F2" w:rsidP="00CD23F2">
      <w:pPr>
        <w:jc w:val="left"/>
        <w:rPr>
          <w:rFonts w:cstheme="minorHAnsi"/>
        </w:rPr>
      </w:pPr>
      <w:r w:rsidRPr="00CD23F2">
        <w:rPr>
          <w:rFonts w:cstheme="minorHAnsi"/>
        </w:rPr>
        <w:t xml:space="preserve">I shall continue to monitor </w:t>
      </w:r>
      <w:r w:rsidR="00EE344A">
        <w:rPr>
          <w:rFonts w:cstheme="minorHAnsi"/>
        </w:rPr>
        <w:t>our b</w:t>
      </w:r>
      <w:r w:rsidRPr="00CD23F2">
        <w:rPr>
          <w:rFonts w:cstheme="minorHAnsi"/>
        </w:rPr>
        <w:t xml:space="preserve">ank </w:t>
      </w:r>
      <w:r w:rsidR="00EE344A">
        <w:rPr>
          <w:rFonts w:cstheme="minorHAnsi"/>
        </w:rPr>
        <w:t>c</w:t>
      </w:r>
      <w:r w:rsidRPr="00CD23F2">
        <w:rPr>
          <w:rFonts w:cstheme="minorHAnsi"/>
        </w:rPr>
        <w:t xml:space="preserve">harges and keep an eye open for cheaper accounts, but the evidence to date is that there is little to be gained by changing to a different provider. A swap would probably involve considerable disruption, and any new provider </w:t>
      </w:r>
      <w:r w:rsidR="00E25479">
        <w:rPr>
          <w:rFonts w:cstheme="minorHAnsi"/>
        </w:rPr>
        <w:t>is</w:t>
      </w:r>
      <w:r w:rsidRPr="00CD23F2">
        <w:rPr>
          <w:rFonts w:cstheme="minorHAnsi"/>
        </w:rPr>
        <w:t xml:space="preserve"> likely to impose their own charges sooner or later.</w:t>
      </w:r>
    </w:p>
    <w:p w14:paraId="21382D47" w14:textId="77777777" w:rsidR="002B10CF" w:rsidRDefault="002B10CF" w:rsidP="00CD23F2">
      <w:pPr>
        <w:jc w:val="left"/>
        <w:rPr>
          <w:rFonts w:cstheme="minorHAnsi"/>
        </w:rPr>
      </w:pPr>
    </w:p>
    <w:p w14:paraId="0DEAE71E" w14:textId="131ED759" w:rsidR="00CD23F2" w:rsidRPr="00CD23F2" w:rsidRDefault="00CD23F2" w:rsidP="00CD23F2">
      <w:pPr>
        <w:jc w:val="left"/>
        <w:rPr>
          <w:rFonts w:cstheme="minorHAnsi"/>
        </w:rPr>
      </w:pPr>
      <w:r w:rsidRPr="00CD23F2">
        <w:rPr>
          <w:rFonts w:cstheme="minorHAnsi"/>
        </w:rPr>
        <w:t>Finally, I would like to thank Rosemary O’Leary for inspecting the Annual Accounts again this year.</w:t>
      </w:r>
    </w:p>
    <w:p w14:paraId="7E6CD441" w14:textId="77777777" w:rsidR="00B859B9" w:rsidRDefault="00B859B9" w:rsidP="00C549C2">
      <w:pPr>
        <w:rPr>
          <w:rFonts w:cstheme="minorHAnsi"/>
        </w:rPr>
      </w:pPr>
    </w:p>
    <w:p w14:paraId="07B11BE1" w14:textId="042444B7" w:rsidR="00CD23F2" w:rsidRPr="00CD23F2" w:rsidRDefault="00CD23F2" w:rsidP="00C549C2">
      <w:pPr>
        <w:rPr>
          <w:rFonts w:cstheme="minorHAnsi"/>
        </w:rPr>
      </w:pPr>
      <w:r w:rsidRPr="00CD23F2">
        <w:rPr>
          <w:rFonts w:cstheme="minorHAnsi"/>
        </w:rPr>
        <w:t>Brian Oswald (Treasurer)</w:t>
      </w:r>
    </w:p>
    <w:p w14:paraId="658577E0" w14:textId="77777777" w:rsidR="00421C57" w:rsidRDefault="00421C57">
      <w:pPr>
        <w:rPr>
          <w:rFonts w:cstheme="minorHAnsi"/>
        </w:rPr>
      </w:pPr>
    </w:p>
    <w:p w14:paraId="6DF675C2" w14:textId="296ED762" w:rsidR="00421C57" w:rsidRDefault="00421C57" w:rsidP="00DA5F69">
      <w:pPr>
        <w:jc w:val="left"/>
        <w:rPr>
          <w:rFonts w:cstheme="minorHAnsi"/>
        </w:rPr>
      </w:pPr>
      <w:r>
        <w:t>The proposal to a</w:t>
      </w:r>
      <w:r w:rsidRPr="003911D0">
        <w:t>dopt the 202</w:t>
      </w:r>
      <w:r w:rsidR="009B3F2A">
        <w:t>5</w:t>
      </w:r>
      <w:r w:rsidRPr="003911D0">
        <w:t xml:space="preserve"> Audited Accounts</w:t>
      </w:r>
      <w:r>
        <w:t xml:space="preserve"> was </w:t>
      </w:r>
      <w:r w:rsidRPr="00660620">
        <w:rPr>
          <w:rFonts w:cstheme="minorHAnsi"/>
        </w:rPr>
        <w:t xml:space="preserve">proposed by </w:t>
      </w:r>
      <w:r w:rsidR="00DA5F69">
        <w:rPr>
          <w:rFonts w:cstheme="minorHAnsi"/>
        </w:rPr>
        <w:t>David Peters</w:t>
      </w:r>
      <w:r w:rsidRPr="00660620">
        <w:rPr>
          <w:rFonts w:cstheme="minorHAnsi"/>
        </w:rPr>
        <w:t xml:space="preserve"> and seconded by </w:t>
      </w:r>
      <w:r w:rsidR="00DA5F69">
        <w:rPr>
          <w:rFonts w:cstheme="minorHAnsi"/>
        </w:rPr>
        <w:t>Sylvia Wells</w:t>
      </w:r>
      <w:r w:rsidRPr="00660620">
        <w:rPr>
          <w:rFonts w:cstheme="minorHAnsi"/>
        </w:rPr>
        <w:t>, supported by all members present. (Statement overleaf)</w:t>
      </w:r>
    </w:p>
    <w:p w14:paraId="2310830C" w14:textId="77777777" w:rsidR="00421C57" w:rsidRDefault="00421C57" w:rsidP="00421C57">
      <w:pPr>
        <w:jc w:val="both"/>
        <w:rPr>
          <w:rFonts w:cstheme="minorHAnsi"/>
          <w:b/>
          <w:bCs/>
        </w:rPr>
      </w:pPr>
    </w:p>
    <w:p w14:paraId="6E3E71E3" w14:textId="0540817D" w:rsidR="00DA5F69" w:rsidRPr="00D66F28" w:rsidRDefault="00FF57DB" w:rsidP="00421C57">
      <w:pPr>
        <w:jc w:val="both"/>
        <w:rPr>
          <w:rFonts w:cstheme="minorHAnsi"/>
          <w:b/>
          <w:bCs/>
          <w:sz w:val="28"/>
          <w:szCs w:val="28"/>
        </w:rPr>
      </w:pPr>
      <w:r w:rsidRPr="00D66F28">
        <w:rPr>
          <w:rFonts w:cstheme="minorHAnsi"/>
          <w:b/>
          <w:bCs/>
          <w:sz w:val="28"/>
          <w:szCs w:val="28"/>
        </w:rPr>
        <w:t>Review and Ratification of the Constitution of the Society</w:t>
      </w:r>
    </w:p>
    <w:p w14:paraId="380DFDD7" w14:textId="75132DA3" w:rsidR="003C00ED" w:rsidRDefault="00014AD9" w:rsidP="00E454E9">
      <w:pPr>
        <w:tabs>
          <w:tab w:val="num" w:pos="720"/>
        </w:tabs>
        <w:jc w:val="both"/>
        <w:rPr>
          <w:rFonts w:cstheme="minorHAnsi"/>
        </w:rPr>
      </w:pPr>
      <w:r w:rsidRPr="00014AD9">
        <w:rPr>
          <w:rFonts w:cstheme="minorHAnsi"/>
        </w:rPr>
        <w:t>Wendy gave a short presentation</w:t>
      </w:r>
      <w:r>
        <w:rPr>
          <w:rFonts w:cstheme="minorHAnsi"/>
        </w:rPr>
        <w:t xml:space="preserve"> explaining the reasoning behind the </w:t>
      </w:r>
      <w:r w:rsidR="00B01169">
        <w:rPr>
          <w:rFonts w:cstheme="minorHAnsi"/>
        </w:rPr>
        <w:t xml:space="preserve">proposal to adopt a new constitution which </w:t>
      </w:r>
      <w:r w:rsidR="00E454E9">
        <w:rPr>
          <w:rFonts w:cstheme="minorHAnsi"/>
        </w:rPr>
        <w:t>r</w:t>
      </w:r>
      <w:r w:rsidR="003C00ED" w:rsidRPr="003C00ED">
        <w:rPr>
          <w:rFonts w:cstheme="minorHAnsi"/>
        </w:rPr>
        <w:t>ealistically outlines and reflects our role in the community</w:t>
      </w:r>
      <w:r w:rsidR="00E454E9">
        <w:rPr>
          <w:rFonts w:cstheme="minorHAnsi"/>
        </w:rPr>
        <w:t>, places emphasis on our outputs rather t</w:t>
      </w:r>
      <w:r w:rsidR="003C00ED" w:rsidRPr="003C00ED">
        <w:rPr>
          <w:rFonts w:cstheme="minorHAnsi"/>
        </w:rPr>
        <w:t>han focusing on inputs</w:t>
      </w:r>
      <w:r w:rsidR="00E454E9">
        <w:rPr>
          <w:rFonts w:cstheme="minorHAnsi"/>
        </w:rPr>
        <w:t>, r</w:t>
      </w:r>
      <w:r w:rsidR="003C00ED" w:rsidRPr="003C00ED">
        <w:rPr>
          <w:rFonts w:cstheme="minorHAnsi"/>
        </w:rPr>
        <w:t>ecognises the means of communication applicable to this century</w:t>
      </w:r>
      <w:r w:rsidR="00E454E9">
        <w:rPr>
          <w:rFonts w:cstheme="minorHAnsi"/>
        </w:rPr>
        <w:t xml:space="preserve"> and k</w:t>
      </w:r>
      <w:r w:rsidR="003C00ED" w:rsidRPr="003C00ED">
        <w:rPr>
          <w:rFonts w:cstheme="minorHAnsi"/>
        </w:rPr>
        <w:t>eeps it simple and relevant</w:t>
      </w:r>
      <w:r w:rsidR="00E454E9">
        <w:rPr>
          <w:rFonts w:cstheme="minorHAnsi"/>
        </w:rPr>
        <w:t xml:space="preserve">.  </w:t>
      </w:r>
    </w:p>
    <w:p w14:paraId="3CCD5CCD" w14:textId="2726F35C" w:rsidR="003C00ED" w:rsidRPr="003C00ED" w:rsidRDefault="00A1711F" w:rsidP="00E454E9">
      <w:pPr>
        <w:tabs>
          <w:tab w:val="num" w:pos="720"/>
        </w:tabs>
        <w:jc w:val="both"/>
        <w:rPr>
          <w:rFonts w:cstheme="minorHAnsi"/>
        </w:rPr>
      </w:pPr>
      <w:r>
        <w:rPr>
          <w:rFonts w:cstheme="minorHAnsi"/>
        </w:rPr>
        <w:t xml:space="preserve">This proposal was carried by all the members present and </w:t>
      </w:r>
      <w:r w:rsidR="0088619E">
        <w:rPr>
          <w:rFonts w:cstheme="minorHAnsi"/>
        </w:rPr>
        <w:t>wa</w:t>
      </w:r>
      <w:r>
        <w:rPr>
          <w:rFonts w:cstheme="minorHAnsi"/>
        </w:rPr>
        <w:t>s therefore adopted going forward by the S</w:t>
      </w:r>
      <w:r w:rsidR="00F9322F">
        <w:rPr>
          <w:rFonts w:cstheme="minorHAnsi"/>
        </w:rPr>
        <w:t>ociety.</w:t>
      </w:r>
    </w:p>
    <w:p w14:paraId="4FFFC1C1" w14:textId="77777777" w:rsidR="00DA5F69" w:rsidRDefault="00DA5F69" w:rsidP="00421C57">
      <w:pPr>
        <w:jc w:val="both"/>
        <w:rPr>
          <w:rFonts w:cstheme="minorHAnsi"/>
          <w:b/>
          <w:bCs/>
        </w:rPr>
      </w:pPr>
    </w:p>
    <w:p w14:paraId="4B8028AB" w14:textId="736A4C58" w:rsidR="00421C57" w:rsidRPr="00D66F28" w:rsidRDefault="00421C57" w:rsidP="00421C57">
      <w:pPr>
        <w:jc w:val="both"/>
        <w:rPr>
          <w:rFonts w:cstheme="minorHAnsi"/>
          <w:b/>
          <w:bCs/>
          <w:sz w:val="28"/>
          <w:szCs w:val="28"/>
        </w:rPr>
      </w:pPr>
      <w:r w:rsidRPr="00D66F28">
        <w:rPr>
          <w:rFonts w:cstheme="minorHAnsi"/>
          <w:b/>
          <w:bCs/>
          <w:sz w:val="28"/>
          <w:szCs w:val="28"/>
        </w:rPr>
        <w:t>Election of officers and committee members</w:t>
      </w:r>
    </w:p>
    <w:p w14:paraId="0EA502A3" w14:textId="2E1D2C94" w:rsidR="00421C57" w:rsidRPr="005B3160" w:rsidRDefault="00421C57" w:rsidP="00421C57">
      <w:pPr>
        <w:jc w:val="left"/>
        <w:rPr>
          <w:rFonts w:cstheme="minorHAnsi"/>
        </w:rPr>
      </w:pPr>
      <w:r w:rsidRPr="005B3160">
        <w:rPr>
          <w:rFonts w:cstheme="minorHAnsi"/>
        </w:rPr>
        <w:t xml:space="preserve">Wendy thanked all the committee members for their continuing support </w:t>
      </w:r>
      <w:r w:rsidR="0054622E">
        <w:rPr>
          <w:rFonts w:cstheme="minorHAnsi"/>
        </w:rPr>
        <w:t>to her and the Society</w:t>
      </w:r>
      <w:r w:rsidR="00033231">
        <w:rPr>
          <w:rFonts w:cstheme="minorHAnsi"/>
        </w:rPr>
        <w:t xml:space="preserve">. </w:t>
      </w:r>
      <w:r w:rsidR="0054622E">
        <w:rPr>
          <w:rFonts w:cstheme="minorHAnsi"/>
        </w:rPr>
        <w:t xml:space="preserve"> </w:t>
      </w:r>
    </w:p>
    <w:p w14:paraId="6B62EADF" w14:textId="77777777" w:rsidR="00421C57" w:rsidRDefault="00421C57" w:rsidP="00421C57">
      <w:pPr>
        <w:jc w:val="both"/>
        <w:rPr>
          <w:rFonts w:cstheme="minorHAnsi"/>
        </w:rPr>
      </w:pPr>
    </w:p>
    <w:p w14:paraId="4CD96E0A" w14:textId="19212E1B" w:rsidR="00421C57" w:rsidRPr="004849ED" w:rsidRDefault="00421C57" w:rsidP="00421C57">
      <w:pPr>
        <w:jc w:val="both"/>
        <w:rPr>
          <w:rFonts w:cstheme="minorHAnsi"/>
        </w:rPr>
      </w:pPr>
      <w:r w:rsidRPr="004849ED">
        <w:rPr>
          <w:rFonts w:cstheme="minorHAnsi"/>
        </w:rPr>
        <w:t xml:space="preserve">Wendy then formally asked that as all remaining committee members were willing to continue in office in their current roles, if there </w:t>
      </w:r>
      <w:r w:rsidR="0088619E">
        <w:rPr>
          <w:rFonts w:cstheme="minorHAnsi"/>
        </w:rPr>
        <w:t>were</w:t>
      </w:r>
      <w:r w:rsidRPr="004849ED">
        <w:rPr>
          <w:rFonts w:cstheme="minorHAnsi"/>
        </w:rPr>
        <w:t xml:space="preserve"> any objections to the remaining committee members being collectively appointed?  There were no objections to this proposal.  </w:t>
      </w:r>
    </w:p>
    <w:p w14:paraId="4C5F4761" w14:textId="77777777" w:rsidR="00421C57" w:rsidRPr="004849ED" w:rsidRDefault="00421C57" w:rsidP="00421C57">
      <w:pPr>
        <w:rPr>
          <w:rFonts w:cstheme="minorHAnsi"/>
        </w:rPr>
      </w:pPr>
    </w:p>
    <w:p w14:paraId="7E423498" w14:textId="4E006FFA" w:rsidR="00421C57" w:rsidRDefault="00421C57" w:rsidP="00421C57">
      <w:pPr>
        <w:jc w:val="both"/>
      </w:pPr>
      <w:r w:rsidRPr="004849ED">
        <w:rPr>
          <w:rFonts w:cstheme="minorHAnsi"/>
        </w:rPr>
        <w:t>This concluded the formal part of the AGM at 7.5</w:t>
      </w:r>
      <w:r w:rsidR="00BB3622">
        <w:rPr>
          <w:rFonts w:cstheme="minorHAnsi"/>
        </w:rPr>
        <w:t>0</w:t>
      </w:r>
      <w:r w:rsidRPr="004849ED">
        <w:rPr>
          <w:rFonts w:cstheme="minorHAnsi"/>
        </w:rPr>
        <w:t xml:space="preserve">pm.  The meeting then resumed with a talk from </w:t>
      </w:r>
      <w:r w:rsidR="00B87F76">
        <w:rPr>
          <w:rFonts w:cstheme="minorHAnsi"/>
        </w:rPr>
        <w:t>Heather Reid</w:t>
      </w:r>
      <w:r w:rsidRPr="004849ED">
        <w:rPr>
          <w:rFonts w:cstheme="minorHAnsi"/>
        </w:rPr>
        <w:t xml:space="preserve"> about </w:t>
      </w:r>
      <w:r w:rsidR="00B87F76">
        <w:rPr>
          <w:rFonts w:cstheme="minorHAnsi"/>
        </w:rPr>
        <w:t>Wickham in Bloom</w:t>
      </w:r>
      <w:r w:rsidRPr="004849ED">
        <w:rPr>
          <w:rFonts w:cstheme="minorHAnsi"/>
        </w:rPr>
        <w:t>.</w:t>
      </w:r>
    </w:p>
    <w:p w14:paraId="62E8104B" w14:textId="14824B0A" w:rsidR="00E15FC9" w:rsidRDefault="00E37C73" w:rsidP="00421C57">
      <w:pPr>
        <w:jc w:val="left"/>
        <w:rPr>
          <w:rFonts w:cstheme="minorHAnsi"/>
        </w:rPr>
      </w:pPr>
      <w:r>
        <w:rPr>
          <w:rFonts w:cstheme="minorHAnsi"/>
        </w:rPr>
        <w:br w:type="page"/>
      </w:r>
    </w:p>
    <w:tbl>
      <w:tblPr>
        <w:tblW w:w="9120" w:type="dxa"/>
        <w:tblLook w:val="04A0" w:firstRow="1" w:lastRow="0" w:firstColumn="1" w:lastColumn="0" w:noHBand="0" w:noVBand="1"/>
      </w:tblPr>
      <w:tblGrid>
        <w:gridCol w:w="6620"/>
        <w:gridCol w:w="960"/>
        <w:gridCol w:w="580"/>
        <w:gridCol w:w="960"/>
      </w:tblGrid>
      <w:tr w:rsidR="00E15FC9" w:rsidRPr="00E15FC9" w14:paraId="5A4A314B" w14:textId="77777777" w:rsidTr="00E15FC9">
        <w:trPr>
          <w:trHeight w:val="300"/>
        </w:trPr>
        <w:tc>
          <w:tcPr>
            <w:tcW w:w="6620" w:type="dxa"/>
            <w:tcBorders>
              <w:top w:val="nil"/>
              <w:left w:val="nil"/>
              <w:bottom w:val="nil"/>
              <w:right w:val="nil"/>
            </w:tcBorders>
            <w:noWrap/>
            <w:vAlign w:val="center"/>
            <w:hideMark/>
          </w:tcPr>
          <w:p w14:paraId="26771515" w14:textId="77777777" w:rsidR="00F43529" w:rsidRDefault="00F43529" w:rsidP="00E15FC9">
            <w:pPr>
              <w:jc w:val="left"/>
              <w:rPr>
                <w:rFonts w:ascii="Times New Roman" w:eastAsia="Times New Roman" w:hAnsi="Times New Roman" w:cs="Times New Roman"/>
                <w:b/>
                <w:bCs/>
                <w:color w:val="000000"/>
                <w:lang w:eastAsia="en-GB"/>
              </w:rPr>
            </w:pPr>
          </w:p>
          <w:p w14:paraId="7BC60042" w14:textId="1DD8EFE0"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WICKHAM SOCIETY INCOME &amp; EXPENDITURE ACCOUNT</w:t>
            </w:r>
          </w:p>
        </w:tc>
        <w:tc>
          <w:tcPr>
            <w:tcW w:w="960" w:type="dxa"/>
            <w:tcBorders>
              <w:top w:val="nil"/>
              <w:left w:val="nil"/>
              <w:bottom w:val="nil"/>
              <w:right w:val="nil"/>
            </w:tcBorders>
            <w:noWrap/>
            <w:vAlign w:val="bottom"/>
            <w:hideMark/>
          </w:tcPr>
          <w:p w14:paraId="7604DD35" w14:textId="77777777" w:rsidR="00E15FC9" w:rsidRPr="00E15FC9" w:rsidRDefault="00E15FC9" w:rsidP="00E15FC9">
            <w:pPr>
              <w:jc w:val="left"/>
              <w:rPr>
                <w:rFonts w:ascii="Times New Roman" w:eastAsia="Times New Roman" w:hAnsi="Times New Roman" w:cs="Times New Roman"/>
                <w:b/>
                <w:bCs/>
                <w:color w:val="000000"/>
                <w:lang w:eastAsia="en-GB"/>
              </w:rPr>
            </w:pPr>
          </w:p>
        </w:tc>
        <w:tc>
          <w:tcPr>
            <w:tcW w:w="580" w:type="dxa"/>
            <w:tcBorders>
              <w:top w:val="nil"/>
              <w:left w:val="nil"/>
              <w:bottom w:val="nil"/>
              <w:right w:val="nil"/>
            </w:tcBorders>
            <w:noWrap/>
            <w:vAlign w:val="bottom"/>
            <w:hideMark/>
          </w:tcPr>
          <w:p w14:paraId="33A73690"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30E4F2FA" w14:textId="77777777" w:rsidR="00E15FC9" w:rsidRPr="00E15FC9" w:rsidRDefault="00E15FC9" w:rsidP="00E15FC9">
            <w:pPr>
              <w:jc w:val="left"/>
              <w:rPr>
                <w:rFonts w:ascii="Times New Roman" w:eastAsia="Times New Roman" w:hAnsi="Times New Roman" w:cs="Times New Roman"/>
                <w:sz w:val="20"/>
                <w:szCs w:val="20"/>
                <w:lang w:eastAsia="en-GB"/>
              </w:rPr>
            </w:pPr>
          </w:p>
        </w:tc>
      </w:tr>
      <w:tr w:rsidR="00E15FC9" w:rsidRPr="00E15FC9" w14:paraId="6517B428" w14:textId="77777777" w:rsidTr="00E15FC9">
        <w:trPr>
          <w:trHeight w:val="330"/>
        </w:trPr>
        <w:tc>
          <w:tcPr>
            <w:tcW w:w="6620" w:type="dxa"/>
            <w:tcBorders>
              <w:top w:val="nil"/>
              <w:left w:val="nil"/>
              <w:bottom w:val="nil"/>
              <w:right w:val="nil"/>
            </w:tcBorders>
            <w:noWrap/>
            <w:vAlign w:val="center"/>
            <w:hideMark/>
          </w:tcPr>
          <w:p w14:paraId="6B51E73B" w14:textId="77777777"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FOR THE YEAR ENDING 31</w:t>
            </w:r>
            <w:r w:rsidRPr="00E15FC9">
              <w:rPr>
                <w:rFonts w:ascii="Times New Roman" w:eastAsia="Times New Roman" w:hAnsi="Times New Roman" w:cs="Times New Roman"/>
                <w:b/>
                <w:bCs/>
                <w:color w:val="000000"/>
                <w:vertAlign w:val="superscript"/>
                <w:lang w:eastAsia="en-GB"/>
              </w:rPr>
              <w:t>ST</w:t>
            </w:r>
            <w:r w:rsidRPr="00E15FC9">
              <w:rPr>
                <w:rFonts w:ascii="Times New Roman" w:eastAsia="Times New Roman" w:hAnsi="Times New Roman" w:cs="Times New Roman"/>
                <w:b/>
                <w:bCs/>
                <w:color w:val="000000"/>
                <w:lang w:eastAsia="en-GB"/>
              </w:rPr>
              <w:t xml:space="preserve"> DECEMBER 2025</w:t>
            </w:r>
          </w:p>
        </w:tc>
        <w:tc>
          <w:tcPr>
            <w:tcW w:w="960" w:type="dxa"/>
            <w:tcBorders>
              <w:top w:val="nil"/>
              <w:left w:val="nil"/>
              <w:bottom w:val="nil"/>
              <w:right w:val="nil"/>
            </w:tcBorders>
            <w:noWrap/>
            <w:vAlign w:val="bottom"/>
            <w:hideMark/>
          </w:tcPr>
          <w:p w14:paraId="4020AC3C" w14:textId="77777777" w:rsidR="00E15FC9" w:rsidRPr="00E15FC9" w:rsidRDefault="00E15FC9" w:rsidP="00E15FC9">
            <w:pPr>
              <w:jc w:val="left"/>
              <w:rPr>
                <w:rFonts w:ascii="Times New Roman" w:eastAsia="Times New Roman" w:hAnsi="Times New Roman" w:cs="Times New Roman"/>
                <w:b/>
                <w:bCs/>
                <w:color w:val="000000"/>
                <w:lang w:eastAsia="en-GB"/>
              </w:rPr>
            </w:pPr>
          </w:p>
        </w:tc>
        <w:tc>
          <w:tcPr>
            <w:tcW w:w="580" w:type="dxa"/>
            <w:tcBorders>
              <w:top w:val="nil"/>
              <w:left w:val="nil"/>
              <w:bottom w:val="nil"/>
              <w:right w:val="nil"/>
            </w:tcBorders>
            <w:noWrap/>
            <w:vAlign w:val="bottom"/>
            <w:hideMark/>
          </w:tcPr>
          <w:p w14:paraId="407C3F8E"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799F088B" w14:textId="77777777" w:rsidR="00E15FC9" w:rsidRPr="00E15FC9" w:rsidRDefault="00E15FC9" w:rsidP="00E15FC9">
            <w:pPr>
              <w:jc w:val="left"/>
              <w:rPr>
                <w:rFonts w:ascii="Times New Roman" w:eastAsia="Times New Roman" w:hAnsi="Times New Roman" w:cs="Times New Roman"/>
                <w:sz w:val="20"/>
                <w:szCs w:val="20"/>
                <w:lang w:eastAsia="en-GB"/>
              </w:rPr>
            </w:pPr>
          </w:p>
        </w:tc>
      </w:tr>
      <w:tr w:rsidR="00E15FC9" w:rsidRPr="00E15FC9" w14:paraId="60AA26C1" w14:textId="77777777" w:rsidTr="00E15FC9">
        <w:trPr>
          <w:trHeight w:val="165"/>
        </w:trPr>
        <w:tc>
          <w:tcPr>
            <w:tcW w:w="6620" w:type="dxa"/>
            <w:tcBorders>
              <w:top w:val="nil"/>
              <w:left w:val="nil"/>
              <w:bottom w:val="nil"/>
              <w:right w:val="nil"/>
            </w:tcBorders>
            <w:vAlign w:val="center"/>
            <w:hideMark/>
          </w:tcPr>
          <w:p w14:paraId="59673F84"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68FC94C0"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3CE375DF"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7D2DC9F8"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10649A67" w14:textId="77777777" w:rsidTr="00E15FC9">
        <w:trPr>
          <w:trHeight w:val="300"/>
        </w:trPr>
        <w:tc>
          <w:tcPr>
            <w:tcW w:w="6620" w:type="dxa"/>
            <w:tcBorders>
              <w:top w:val="nil"/>
              <w:left w:val="nil"/>
              <w:bottom w:val="nil"/>
              <w:right w:val="nil"/>
            </w:tcBorders>
            <w:vAlign w:val="center"/>
            <w:hideMark/>
          </w:tcPr>
          <w:p w14:paraId="7A9D9719" w14:textId="77777777"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Funds as at 1</w:t>
            </w:r>
            <w:r w:rsidRPr="00E15FC9">
              <w:rPr>
                <w:rFonts w:ascii="Times New Roman" w:eastAsia="Times New Roman" w:hAnsi="Times New Roman" w:cs="Times New Roman"/>
                <w:b/>
                <w:bCs/>
                <w:color w:val="000000"/>
                <w:vertAlign w:val="superscript"/>
                <w:lang w:eastAsia="en-GB"/>
              </w:rPr>
              <w:t>st</w:t>
            </w:r>
            <w:r w:rsidRPr="00E15FC9">
              <w:rPr>
                <w:rFonts w:ascii="Times New Roman" w:eastAsia="Times New Roman" w:hAnsi="Times New Roman" w:cs="Times New Roman"/>
                <w:b/>
                <w:bCs/>
                <w:color w:val="000000"/>
                <w:lang w:eastAsia="en-GB"/>
              </w:rPr>
              <w:t xml:space="preserve"> January</w:t>
            </w:r>
          </w:p>
        </w:tc>
        <w:tc>
          <w:tcPr>
            <w:tcW w:w="960" w:type="dxa"/>
            <w:tcBorders>
              <w:top w:val="nil"/>
              <w:left w:val="nil"/>
              <w:bottom w:val="nil"/>
              <w:right w:val="nil"/>
            </w:tcBorders>
            <w:vAlign w:val="center"/>
            <w:hideMark/>
          </w:tcPr>
          <w:p w14:paraId="0ABA83E2" w14:textId="77777777" w:rsidR="00E15FC9" w:rsidRPr="00E15FC9" w:rsidRDefault="00E15FC9" w:rsidP="00E15FC9">
            <w:pPr>
              <w:jc w:val="cente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2025</w:t>
            </w:r>
          </w:p>
        </w:tc>
        <w:tc>
          <w:tcPr>
            <w:tcW w:w="580" w:type="dxa"/>
            <w:tcBorders>
              <w:top w:val="nil"/>
              <w:left w:val="nil"/>
              <w:bottom w:val="nil"/>
              <w:right w:val="nil"/>
            </w:tcBorders>
            <w:vAlign w:val="center"/>
            <w:hideMark/>
          </w:tcPr>
          <w:p w14:paraId="30623ADC" w14:textId="77777777" w:rsidR="00E15FC9" w:rsidRPr="00E15FC9" w:rsidRDefault="00E15FC9" w:rsidP="00E15FC9">
            <w:pPr>
              <w:jc w:val="cente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vAlign w:val="center"/>
            <w:hideMark/>
          </w:tcPr>
          <w:p w14:paraId="4378E7E2" w14:textId="77777777" w:rsidR="00E15FC9" w:rsidRPr="00E15FC9" w:rsidRDefault="00E15FC9" w:rsidP="00E15FC9">
            <w:pPr>
              <w:jc w:val="cente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2024</w:t>
            </w:r>
          </w:p>
        </w:tc>
      </w:tr>
      <w:tr w:rsidR="00E15FC9" w:rsidRPr="00E15FC9" w14:paraId="13BA68AD" w14:textId="77777777" w:rsidTr="00E15FC9">
        <w:trPr>
          <w:trHeight w:val="158"/>
        </w:trPr>
        <w:tc>
          <w:tcPr>
            <w:tcW w:w="6620" w:type="dxa"/>
            <w:tcBorders>
              <w:top w:val="nil"/>
              <w:left w:val="nil"/>
              <w:bottom w:val="nil"/>
              <w:right w:val="nil"/>
            </w:tcBorders>
            <w:vAlign w:val="center"/>
            <w:hideMark/>
          </w:tcPr>
          <w:p w14:paraId="7E8417F6" w14:textId="77777777" w:rsidR="00E15FC9" w:rsidRPr="00E15FC9" w:rsidRDefault="00E15FC9" w:rsidP="00E15FC9">
            <w:pPr>
              <w:jc w:val="cente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vAlign w:val="center"/>
            <w:hideMark/>
          </w:tcPr>
          <w:p w14:paraId="2C984190"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6817FB44" w14:textId="77777777" w:rsidR="00E15FC9" w:rsidRPr="00E15FC9" w:rsidRDefault="00E15FC9" w:rsidP="00E15FC9">
            <w:pPr>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7B0F4441" w14:textId="77777777" w:rsidR="00E15FC9" w:rsidRPr="00E15FC9" w:rsidRDefault="00E15FC9" w:rsidP="00E15FC9">
            <w:pPr>
              <w:jc w:val="center"/>
              <w:rPr>
                <w:rFonts w:ascii="Times New Roman" w:eastAsia="Times New Roman" w:hAnsi="Times New Roman" w:cs="Times New Roman"/>
                <w:sz w:val="20"/>
                <w:szCs w:val="20"/>
                <w:lang w:eastAsia="en-GB"/>
              </w:rPr>
            </w:pPr>
          </w:p>
        </w:tc>
      </w:tr>
      <w:tr w:rsidR="00E15FC9" w:rsidRPr="00E15FC9" w14:paraId="7F82A425" w14:textId="77777777" w:rsidTr="00E15FC9">
        <w:trPr>
          <w:trHeight w:val="289"/>
        </w:trPr>
        <w:tc>
          <w:tcPr>
            <w:tcW w:w="6620" w:type="dxa"/>
            <w:tcBorders>
              <w:top w:val="nil"/>
              <w:left w:val="nil"/>
              <w:bottom w:val="nil"/>
              <w:right w:val="nil"/>
            </w:tcBorders>
            <w:vAlign w:val="center"/>
            <w:hideMark/>
          </w:tcPr>
          <w:p w14:paraId="714E8073"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 xml:space="preserve">Lloyds Bank Business Account </w:t>
            </w:r>
          </w:p>
        </w:tc>
        <w:tc>
          <w:tcPr>
            <w:tcW w:w="960" w:type="dxa"/>
            <w:tcBorders>
              <w:top w:val="nil"/>
              <w:left w:val="nil"/>
              <w:bottom w:val="nil"/>
              <w:right w:val="nil"/>
            </w:tcBorders>
            <w:vAlign w:val="center"/>
            <w:hideMark/>
          </w:tcPr>
          <w:p w14:paraId="6BA2A02E"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607.09</w:t>
            </w:r>
          </w:p>
        </w:tc>
        <w:tc>
          <w:tcPr>
            <w:tcW w:w="580" w:type="dxa"/>
            <w:tcBorders>
              <w:top w:val="nil"/>
              <w:left w:val="nil"/>
              <w:bottom w:val="nil"/>
              <w:right w:val="nil"/>
            </w:tcBorders>
            <w:vAlign w:val="center"/>
            <w:hideMark/>
          </w:tcPr>
          <w:p w14:paraId="58E7EDD6"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549BFE96"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665.43</w:t>
            </w:r>
          </w:p>
        </w:tc>
      </w:tr>
      <w:tr w:rsidR="00E15FC9" w:rsidRPr="00E15FC9" w14:paraId="5D01CEA4" w14:textId="77777777" w:rsidTr="00E15FC9">
        <w:trPr>
          <w:trHeight w:val="289"/>
        </w:trPr>
        <w:tc>
          <w:tcPr>
            <w:tcW w:w="6620" w:type="dxa"/>
            <w:tcBorders>
              <w:top w:val="nil"/>
              <w:left w:val="nil"/>
              <w:bottom w:val="nil"/>
              <w:right w:val="nil"/>
            </w:tcBorders>
            <w:vAlign w:val="center"/>
            <w:hideMark/>
          </w:tcPr>
          <w:p w14:paraId="51E00F9C"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 xml:space="preserve">Cash in Hand </w:t>
            </w:r>
          </w:p>
        </w:tc>
        <w:tc>
          <w:tcPr>
            <w:tcW w:w="960" w:type="dxa"/>
            <w:tcBorders>
              <w:top w:val="nil"/>
              <w:left w:val="nil"/>
              <w:bottom w:val="nil"/>
              <w:right w:val="nil"/>
            </w:tcBorders>
            <w:vAlign w:val="center"/>
            <w:hideMark/>
          </w:tcPr>
          <w:p w14:paraId="1BC3AA5E" w14:textId="77777777" w:rsidR="00E15FC9" w:rsidRPr="00E15FC9" w:rsidRDefault="00E15FC9" w:rsidP="00E15FC9">
            <w:pPr>
              <w:rPr>
                <w:rFonts w:ascii="Times New Roman" w:eastAsia="Times New Roman" w:hAnsi="Times New Roman" w:cs="Times New Roman"/>
                <w:color w:val="000000"/>
                <w:u w:val="single"/>
                <w:lang w:eastAsia="en-GB"/>
              </w:rPr>
            </w:pPr>
            <w:r w:rsidRPr="00E15FC9">
              <w:rPr>
                <w:rFonts w:ascii="Times New Roman" w:eastAsia="Times New Roman" w:hAnsi="Times New Roman" w:cs="Times New Roman"/>
                <w:color w:val="000000"/>
                <w:u w:val="single"/>
                <w:lang w:eastAsia="en-GB"/>
              </w:rPr>
              <w:t>91.06</w:t>
            </w:r>
          </w:p>
        </w:tc>
        <w:tc>
          <w:tcPr>
            <w:tcW w:w="580" w:type="dxa"/>
            <w:tcBorders>
              <w:top w:val="nil"/>
              <w:left w:val="nil"/>
              <w:bottom w:val="nil"/>
              <w:right w:val="nil"/>
            </w:tcBorders>
            <w:vAlign w:val="center"/>
            <w:hideMark/>
          </w:tcPr>
          <w:p w14:paraId="3C6B91B2" w14:textId="77777777" w:rsidR="00E15FC9" w:rsidRPr="00E15FC9" w:rsidRDefault="00E15FC9" w:rsidP="00E15FC9">
            <w:pPr>
              <w:rPr>
                <w:rFonts w:ascii="Times New Roman" w:eastAsia="Times New Roman" w:hAnsi="Times New Roman" w:cs="Times New Roman"/>
                <w:color w:val="000000"/>
                <w:u w:val="single"/>
                <w:lang w:eastAsia="en-GB"/>
              </w:rPr>
            </w:pPr>
          </w:p>
        </w:tc>
        <w:tc>
          <w:tcPr>
            <w:tcW w:w="960" w:type="dxa"/>
            <w:tcBorders>
              <w:top w:val="nil"/>
              <w:left w:val="nil"/>
              <w:bottom w:val="nil"/>
              <w:right w:val="nil"/>
            </w:tcBorders>
            <w:vAlign w:val="center"/>
            <w:hideMark/>
          </w:tcPr>
          <w:p w14:paraId="05C12053" w14:textId="77777777" w:rsidR="00E15FC9" w:rsidRPr="00E15FC9" w:rsidRDefault="00E15FC9" w:rsidP="00E15FC9">
            <w:pPr>
              <w:rPr>
                <w:rFonts w:ascii="Times New Roman" w:eastAsia="Times New Roman" w:hAnsi="Times New Roman" w:cs="Times New Roman"/>
                <w:color w:val="000000"/>
                <w:u w:val="single"/>
                <w:lang w:eastAsia="en-GB"/>
              </w:rPr>
            </w:pPr>
            <w:r w:rsidRPr="00E15FC9">
              <w:rPr>
                <w:rFonts w:ascii="Times New Roman" w:eastAsia="Times New Roman" w:hAnsi="Times New Roman" w:cs="Times New Roman"/>
                <w:color w:val="000000"/>
                <w:u w:val="single"/>
                <w:lang w:eastAsia="en-GB"/>
              </w:rPr>
              <w:t>0.00</w:t>
            </w:r>
          </w:p>
        </w:tc>
      </w:tr>
      <w:tr w:rsidR="00E15FC9" w:rsidRPr="00E15FC9" w14:paraId="2ECEB84E" w14:textId="77777777" w:rsidTr="00E15FC9">
        <w:trPr>
          <w:trHeight w:val="300"/>
        </w:trPr>
        <w:tc>
          <w:tcPr>
            <w:tcW w:w="6620" w:type="dxa"/>
            <w:tcBorders>
              <w:top w:val="nil"/>
              <w:left w:val="nil"/>
              <w:bottom w:val="nil"/>
              <w:right w:val="nil"/>
            </w:tcBorders>
            <w:vAlign w:val="center"/>
            <w:hideMark/>
          </w:tcPr>
          <w:p w14:paraId="29615627" w14:textId="65A101EA"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Note: *2025 figure includes £6 advance subscription, carried forward)</w:t>
            </w:r>
          </w:p>
        </w:tc>
        <w:tc>
          <w:tcPr>
            <w:tcW w:w="960" w:type="dxa"/>
            <w:tcBorders>
              <w:top w:val="nil"/>
              <w:left w:val="nil"/>
              <w:bottom w:val="nil"/>
              <w:right w:val="nil"/>
            </w:tcBorders>
            <w:vAlign w:val="center"/>
            <w:hideMark/>
          </w:tcPr>
          <w:p w14:paraId="1632D137" w14:textId="77777777" w:rsidR="00E15FC9" w:rsidRPr="00E15FC9" w:rsidRDefault="00E15FC9" w:rsidP="00E15FC9">
            <w:pP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698.15</w:t>
            </w:r>
          </w:p>
        </w:tc>
        <w:tc>
          <w:tcPr>
            <w:tcW w:w="580" w:type="dxa"/>
            <w:tcBorders>
              <w:top w:val="nil"/>
              <w:left w:val="nil"/>
              <w:bottom w:val="nil"/>
              <w:right w:val="nil"/>
            </w:tcBorders>
            <w:vAlign w:val="center"/>
            <w:hideMark/>
          </w:tcPr>
          <w:p w14:paraId="3690E38D" w14:textId="77777777" w:rsidR="00E15FC9" w:rsidRPr="00E15FC9" w:rsidRDefault="00E15FC9" w:rsidP="00E15FC9">
            <w:pP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vAlign w:val="center"/>
            <w:hideMark/>
          </w:tcPr>
          <w:p w14:paraId="6F767761" w14:textId="77777777" w:rsidR="00E15FC9" w:rsidRPr="00E15FC9" w:rsidRDefault="00E15FC9" w:rsidP="00E15FC9">
            <w:pP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665.43</w:t>
            </w:r>
          </w:p>
        </w:tc>
      </w:tr>
      <w:tr w:rsidR="00E15FC9" w:rsidRPr="00E15FC9" w14:paraId="76C34E24" w14:textId="77777777" w:rsidTr="00E15FC9">
        <w:trPr>
          <w:trHeight w:val="135"/>
        </w:trPr>
        <w:tc>
          <w:tcPr>
            <w:tcW w:w="6620" w:type="dxa"/>
            <w:tcBorders>
              <w:top w:val="nil"/>
              <w:left w:val="nil"/>
              <w:bottom w:val="nil"/>
              <w:right w:val="nil"/>
            </w:tcBorders>
            <w:vAlign w:val="center"/>
            <w:hideMark/>
          </w:tcPr>
          <w:p w14:paraId="4B8149BF" w14:textId="77777777" w:rsidR="00E15FC9" w:rsidRPr="00E15FC9" w:rsidRDefault="00E15FC9" w:rsidP="00E15FC9">
            <w:pP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vAlign w:val="center"/>
            <w:hideMark/>
          </w:tcPr>
          <w:p w14:paraId="39F7142E"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56CE02D9"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38502C61"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135E99AB" w14:textId="77777777" w:rsidTr="00E15FC9">
        <w:trPr>
          <w:trHeight w:val="300"/>
        </w:trPr>
        <w:tc>
          <w:tcPr>
            <w:tcW w:w="6620" w:type="dxa"/>
            <w:tcBorders>
              <w:top w:val="nil"/>
              <w:left w:val="nil"/>
              <w:bottom w:val="nil"/>
              <w:right w:val="nil"/>
            </w:tcBorders>
            <w:vAlign w:val="center"/>
            <w:hideMark/>
          </w:tcPr>
          <w:p w14:paraId="3D99B12A" w14:textId="77777777"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INCOME</w:t>
            </w:r>
          </w:p>
        </w:tc>
        <w:tc>
          <w:tcPr>
            <w:tcW w:w="960" w:type="dxa"/>
            <w:tcBorders>
              <w:top w:val="nil"/>
              <w:left w:val="nil"/>
              <w:bottom w:val="nil"/>
              <w:right w:val="nil"/>
            </w:tcBorders>
            <w:vAlign w:val="center"/>
            <w:hideMark/>
          </w:tcPr>
          <w:p w14:paraId="4C2E7C49" w14:textId="77777777" w:rsidR="00E15FC9" w:rsidRPr="00E15FC9" w:rsidRDefault="00E15FC9" w:rsidP="00E15FC9">
            <w:pPr>
              <w:jc w:val="left"/>
              <w:rPr>
                <w:rFonts w:ascii="Times New Roman" w:eastAsia="Times New Roman" w:hAnsi="Times New Roman" w:cs="Times New Roman"/>
                <w:b/>
                <w:bCs/>
                <w:color w:val="000000"/>
                <w:lang w:eastAsia="en-GB"/>
              </w:rPr>
            </w:pPr>
          </w:p>
        </w:tc>
        <w:tc>
          <w:tcPr>
            <w:tcW w:w="580" w:type="dxa"/>
            <w:tcBorders>
              <w:top w:val="nil"/>
              <w:left w:val="nil"/>
              <w:bottom w:val="nil"/>
              <w:right w:val="nil"/>
            </w:tcBorders>
            <w:vAlign w:val="center"/>
            <w:hideMark/>
          </w:tcPr>
          <w:p w14:paraId="2E62E92B"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2397D8A3" w14:textId="77777777" w:rsidR="00E15FC9" w:rsidRPr="00E15FC9" w:rsidRDefault="00E15FC9" w:rsidP="00E15FC9">
            <w:pPr>
              <w:jc w:val="left"/>
              <w:rPr>
                <w:rFonts w:ascii="Times New Roman" w:eastAsia="Times New Roman" w:hAnsi="Times New Roman" w:cs="Times New Roman"/>
                <w:sz w:val="20"/>
                <w:szCs w:val="20"/>
                <w:lang w:eastAsia="en-GB"/>
              </w:rPr>
            </w:pPr>
          </w:p>
        </w:tc>
      </w:tr>
      <w:tr w:rsidR="00E15FC9" w:rsidRPr="00E15FC9" w14:paraId="2A90B2A7" w14:textId="77777777" w:rsidTr="00E15FC9">
        <w:trPr>
          <w:trHeight w:val="289"/>
        </w:trPr>
        <w:tc>
          <w:tcPr>
            <w:tcW w:w="6620" w:type="dxa"/>
            <w:tcBorders>
              <w:top w:val="nil"/>
              <w:left w:val="nil"/>
              <w:bottom w:val="nil"/>
              <w:right w:val="nil"/>
            </w:tcBorders>
            <w:vAlign w:val="center"/>
            <w:hideMark/>
          </w:tcPr>
          <w:p w14:paraId="2F39EE4B" w14:textId="694877B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 xml:space="preserve">Membership subscriptions (77 in 2025, 80 in 2024, but see </w:t>
            </w:r>
            <w:r w:rsidR="001E5DA9" w:rsidRPr="00E15FC9">
              <w:rPr>
                <w:rFonts w:ascii="Times New Roman" w:eastAsia="Times New Roman" w:hAnsi="Times New Roman" w:cs="Times New Roman"/>
                <w:color w:val="000000"/>
                <w:lang w:eastAsia="en-GB"/>
              </w:rPr>
              <w:t>* above</w:t>
            </w:r>
            <w:r w:rsidRPr="00E15FC9">
              <w:rPr>
                <w:rFonts w:ascii="Times New Roman" w:eastAsia="Times New Roman" w:hAnsi="Times New Roman" w:cs="Times New Roman"/>
                <w:color w:val="000000"/>
                <w:lang w:eastAsia="en-GB"/>
              </w:rPr>
              <w:t>)</w:t>
            </w:r>
          </w:p>
        </w:tc>
        <w:tc>
          <w:tcPr>
            <w:tcW w:w="960" w:type="dxa"/>
            <w:tcBorders>
              <w:top w:val="nil"/>
              <w:left w:val="nil"/>
              <w:bottom w:val="nil"/>
              <w:right w:val="nil"/>
            </w:tcBorders>
            <w:vAlign w:val="center"/>
            <w:hideMark/>
          </w:tcPr>
          <w:p w14:paraId="5C777D6C"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462.00</w:t>
            </w:r>
          </w:p>
        </w:tc>
        <w:tc>
          <w:tcPr>
            <w:tcW w:w="580" w:type="dxa"/>
            <w:tcBorders>
              <w:top w:val="nil"/>
              <w:left w:val="nil"/>
              <w:bottom w:val="nil"/>
              <w:right w:val="nil"/>
            </w:tcBorders>
            <w:vAlign w:val="center"/>
            <w:hideMark/>
          </w:tcPr>
          <w:p w14:paraId="6F1391B1"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5CC91DFF"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480.00</w:t>
            </w:r>
          </w:p>
        </w:tc>
      </w:tr>
      <w:tr w:rsidR="00E15FC9" w:rsidRPr="00E15FC9" w14:paraId="47137384" w14:textId="77777777" w:rsidTr="00E15FC9">
        <w:trPr>
          <w:trHeight w:val="300"/>
        </w:trPr>
        <w:tc>
          <w:tcPr>
            <w:tcW w:w="6620" w:type="dxa"/>
            <w:tcBorders>
              <w:top w:val="nil"/>
              <w:left w:val="nil"/>
              <w:bottom w:val="nil"/>
              <w:right w:val="nil"/>
            </w:tcBorders>
            <w:vAlign w:val="center"/>
            <w:hideMark/>
          </w:tcPr>
          <w:p w14:paraId="0C22838B"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Visitors (21 at the Nov. 'M27' meeting, 2 or 3 at each of the others)</w:t>
            </w:r>
          </w:p>
        </w:tc>
        <w:tc>
          <w:tcPr>
            <w:tcW w:w="960" w:type="dxa"/>
            <w:tcBorders>
              <w:top w:val="nil"/>
              <w:left w:val="nil"/>
              <w:bottom w:val="nil"/>
              <w:right w:val="nil"/>
            </w:tcBorders>
            <w:vAlign w:val="center"/>
            <w:hideMark/>
          </w:tcPr>
          <w:p w14:paraId="231D1AEE" w14:textId="77777777" w:rsidR="00E15FC9" w:rsidRPr="00E15FC9" w:rsidRDefault="00E15FC9" w:rsidP="00E15FC9">
            <w:pPr>
              <w:rPr>
                <w:rFonts w:ascii="Times New Roman" w:eastAsia="Times New Roman" w:hAnsi="Times New Roman" w:cs="Times New Roman"/>
                <w:color w:val="000000"/>
                <w:u w:val="single"/>
                <w:lang w:eastAsia="en-GB"/>
              </w:rPr>
            </w:pPr>
            <w:r w:rsidRPr="00E15FC9">
              <w:rPr>
                <w:rFonts w:ascii="Times New Roman" w:eastAsia="Times New Roman" w:hAnsi="Times New Roman" w:cs="Times New Roman"/>
                <w:color w:val="000000"/>
                <w:u w:val="single"/>
                <w:lang w:eastAsia="en-GB"/>
              </w:rPr>
              <w:t>70.50</w:t>
            </w:r>
          </w:p>
        </w:tc>
        <w:tc>
          <w:tcPr>
            <w:tcW w:w="580" w:type="dxa"/>
            <w:tcBorders>
              <w:top w:val="nil"/>
              <w:left w:val="nil"/>
              <w:bottom w:val="nil"/>
              <w:right w:val="nil"/>
            </w:tcBorders>
            <w:vAlign w:val="center"/>
            <w:hideMark/>
          </w:tcPr>
          <w:p w14:paraId="2E9ECF1D" w14:textId="77777777" w:rsidR="00E15FC9" w:rsidRPr="00E15FC9" w:rsidRDefault="00E15FC9" w:rsidP="00E15FC9">
            <w:pPr>
              <w:rPr>
                <w:rFonts w:ascii="Times New Roman" w:eastAsia="Times New Roman" w:hAnsi="Times New Roman" w:cs="Times New Roman"/>
                <w:color w:val="000000"/>
                <w:u w:val="single"/>
                <w:lang w:eastAsia="en-GB"/>
              </w:rPr>
            </w:pPr>
          </w:p>
        </w:tc>
        <w:tc>
          <w:tcPr>
            <w:tcW w:w="960" w:type="dxa"/>
            <w:tcBorders>
              <w:top w:val="nil"/>
              <w:left w:val="nil"/>
              <w:bottom w:val="nil"/>
              <w:right w:val="nil"/>
            </w:tcBorders>
            <w:vAlign w:val="center"/>
            <w:hideMark/>
          </w:tcPr>
          <w:p w14:paraId="1D7C5D49" w14:textId="77777777" w:rsidR="00E15FC9" w:rsidRPr="00E15FC9" w:rsidRDefault="00E15FC9" w:rsidP="00E15FC9">
            <w:pPr>
              <w:rPr>
                <w:rFonts w:ascii="Times New Roman" w:eastAsia="Times New Roman" w:hAnsi="Times New Roman" w:cs="Times New Roman"/>
                <w:color w:val="000000"/>
                <w:u w:val="single"/>
                <w:lang w:eastAsia="en-GB"/>
              </w:rPr>
            </w:pPr>
            <w:r w:rsidRPr="00E15FC9">
              <w:rPr>
                <w:rFonts w:ascii="Times New Roman" w:eastAsia="Times New Roman" w:hAnsi="Times New Roman" w:cs="Times New Roman"/>
                <w:color w:val="000000"/>
                <w:u w:val="single"/>
                <w:lang w:eastAsia="en-GB"/>
              </w:rPr>
              <w:t>73.00</w:t>
            </w:r>
          </w:p>
        </w:tc>
      </w:tr>
      <w:tr w:rsidR="00E15FC9" w:rsidRPr="00E15FC9" w14:paraId="5D75DDF0" w14:textId="77777777" w:rsidTr="00E15FC9">
        <w:trPr>
          <w:trHeight w:val="300"/>
        </w:trPr>
        <w:tc>
          <w:tcPr>
            <w:tcW w:w="6620" w:type="dxa"/>
            <w:tcBorders>
              <w:top w:val="nil"/>
              <w:left w:val="nil"/>
              <w:bottom w:val="nil"/>
              <w:right w:val="nil"/>
            </w:tcBorders>
            <w:vAlign w:val="center"/>
            <w:hideMark/>
          </w:tcPr>
          <w:p w14:paraId="5043590E" w14:textId="77777777" w:rsidR="00E15FC9" w:rsidRPr="00E15FC9" w:rsidRDefault="00E15FC9" w:rsidP="00E15FC9">
            <w:pPr>
              <w:rPr>
                <w:rFonts w:ascii="Times New Roman" w:eastAsia="Times New Roman" w:hAnsi="Times New Roman" w:cs="Times New Roman"/>
                <w:color w:val="000000"/>
                <w:u w:val="single"/>
                <w:lang w:eastAsia="en-GB"/>
              </w:rPr>
            </w:pPr>
          </w:p>
        </w:tc>
        <w:tc>
          <w:tcPr>
            <w:tcW w:w="960" w:type="dxa"/>
            <w:tcBorders>
              <w:top w:val="nil"/>
              <w:left w:val="nil"/>
              <w:bottom w:val="nil"/>
              <w:right w:val="nil"/>
            </w:tcBorders>
            <w:vAlign w:val="center"/>
            <w:hideMark/>
          </w:tcPr>
          <w:p w14:paraId="42BC6094" w14:textId="77777777" w:rsidR="00E15FC9" w:rsidRPr="00E15FC9" w:rsidRDefault="00E15FC9" w:rsidP="00E15FC9">
            <w:pPr>
              <w:rPr>
                <w:rFonts w:ascii="Times New Roman" w:eastAsia="Times New Roman" w:hAnsi="Times New Roman" w:cs="Times New Roman"/>
                <w:color w:val="000000"/>
                <w:u w:val="single"/>
                <w:lang w:eastAsia="en-GB"/>
              </w:rPr>
            </w:pPr>
            <w:r w:rsidRPr="00E15FC9">
              <w:rPr>
                <w:rFonts w:ascii="Times New Roman" w:eastAsia="Times New Roman" w:hAnsi="Times New Roman" w:cs="Times New Roman"/>
                <w:color w:val="000000"/>
                <w:u w:val="single"/>
                <w:lang w:eastAsia="en-GB"/>
              </w:rPr>
              <w:t>532.50</w:t>
            </w:r>
          </w:p>
        </w:tc>
        <w:tc>
          <w:tcPr>
            <w:tcW w:w="580" w:type="dxa"/>
            <w:tcBorders>
              <w:top w:val="nil"/>
              <w:left w:val="nil"/>
              <w:bottom w:val="nil"/>
              <w:right w:val="nil"/>
            </w:tcBorders>
            <w:vAlign w:val="center"/>
            <w:hideMark/>
          </w:tcPr>
          <w:p w14:paraId="4FD1D638" w14:textId="77777777" w:rsidR="00E15FC9" w:rsidRPr="00E15FC9" w:rsidRDefault="00E15FC9" w:rsidP="00E15FC9">
            <w:pPr>
              <w:rPr>
                <w:rFonts w:ascii="Times New Roman" w:eastAsia="Times New Roman" w:hAnsi="Times New Roman" w:cs="Times New Roman"/>
                <w:color w:val="000000"/>
                <w:u w:val="single"/>
                <w:lang w:eastAsia="en-GB"/>
              </w:rPr>
            </w:pPr>
          </w:p>
        </w:tc>
        <w:tc>
          <w:tcPr>
            <w:tcW w:w="960" w:type="dxa"/>
            <w:tcBorders>
              <w:top w:val="nil"/>
              <w:left w:val="nil"/>
              <w:bottom w:val="nil"/>
              <w:right w:val="nil"/>
            </w:tcBorders>
            <w:vAlign w:val="center"/>
            <w:hideMark/>
          </w:tcPr>
          <w:p w14:paraId="401414FC" w14:textId="77777777" w:rsidR="00E15FC9" w:rsidRPr="00E15FC9" w:rsidRDefault="00E15FC9" w:rsidP="00E15FC9">
            <w:pPr>
              <w:rPr>
                <w:rFonts w:ascii="Times New Roman" w:eastAsia="Times New Roman" w:hAnsi="Times New Roman" w:cs="Times New Roman"/>
                <w:color w:val="000000"/>
                <w:u w:val="single"/>
                <w:lang w:eastAsia="en-GB"/>
              </w:rPr>
            </w:pPr>
            <w:r w:rsidRPr="00E15FC9">
              <w:rPr>
                <w:rFonts w:ascii="Times New Roman" w:eastAsia="Times New Roman" w:hAnsi="Times New Roman" w:cs="Times New Roman"/>
                <w:color w:val="000000"/>
                <w:u w:val="single"/>
                <w:lang w:eastAsia="en-GB"/>
              </w:rPr>
              <w:t>553.00</w:t>
            </w:r>
          </w:p>
        </w:tc>
      </w:tr>
      <w:tr w:rsidR="00E15FC9" w:rsidRPr="00E15FC9" w14:paraId="46EC4BF6" w14:textId="77777777" w:rsidTr="00E15FC9">
        <w:trPr>
          <w:trHeight w:val="120"/>
        </w:trPr>
        <w:tc>
          <w:tcPr>
            <w:tcW w:w="6620" w:type="dxa"/>
            <w:tcBorders>
              <w:top w:val="nil"/>
              <w:left w:val="nil"/>
              <w:bottom w:val="nil"/>
              <w:right w:val="nil"/>
            </w:tcBorders>
            <w:vAlign w:val="center"/>
            <w:hideMark/>
          </w:tcPr>
          <w:p w14:paraId="0DD02A97" w14:textId="77777777" w:rsidR="00E15FC9" w:rsidRPr="00E15FC9" w:rsidRDefault="00E15FC9" w:rsidP="00E15FC9">
            <w:pPr>
              <w:rPr>
                <w:rFonts w:ascii="Times New Roman" w:eastAsia="Times New Roman" w:hAnsi="Times New Roman" w:cs="Times New Roman"/>
                <w:color w:val="000000"/>
                <w:u w:val="single"/>
                <w:lang w:eastAsia="en-GB"/>
              </w:rPr>
            </w:pPr>
          </w:p>
        </w:tc>
        <w:tc>
          <w:tcPr>
            <w:tcW w:w="960" w:type="dxa"/>
            <w:tcBorders>
              <w:top w:val="nil"/>
              <w:left w:val="nil"/>
              <w:bottom w:val="nil"/>
              <w:right w:val="nil"/>
            </w:tcBorders>
            <w:vAlign w:val="center"/>
            <w:hideMark/>
          </w:tcPr>
          <w:p w14:paraId="05FE93A3"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12729136"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5039728C"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000B6AD1" w14:textId="77777777" w:rsidTr="00E15FC9">
        <w:trPr>
          <w:trHeight w:val="300"/>
        </w:trPr>
        <w:tc>
          <w:tcPr>
            <w:tcW w:w="6620" w:type="dxa"/>
            <w:tcBorders>
              <w:top w:val="nil"/>
              <w:left w:val="nil"/>
              <w:bottom w:val="nil"/>
              <w:right w:val="nil"/>
            </w:tcBorders>
            <w:vAlign w:val="center"/>
            <w:hideMark/>
          </w:tcPr>
          <w:p w14:paraId="722AF3CE"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Donations from members</w:t>
            </w:r>
          </w:p>
        </w:tc>
        <w:tc>
          <w:tcPr>
            <w:tcW w:w="960" w:type="dxa"/>
            <w:tcBorders>
              <w:top w:val="nil"/>
              <w:left w:val="nil"/>
              <w:bottom w:val="nil"/>
              <w:right w:val="nil"/>
            </w:tcBorders>
            <w:vAlign w:val="center"/>
            <w:hideMark/>
          </w:tcPr>
          <w:p w14:paraId="74D82510"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4.00</w:t>
            </w:r>
          </w:p>
        </w:tc>
        <w:tc>
          <w:tcPr>
            <w:tcW w:w="580" w:type="dxa"/>
            <w:tcBorders>
              <w:top w:val="nil"/>
              <w:left w:val="nil"/>
              <w:bottom w:val="nil"/>
              <w:right w:val="nil"/>
            </w:tcBorders>
            <w:vAlign w:val="center"/>
            <w:hideMark/>
          </w:tcPr>
          <w:p w14:paraId="2312C123"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21882BF7"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5.00</w:t>
            </w:r>
          </w:p>
        </w:tc>
      </w:tr>
      <w:tr w:rsidR="00E15FC9" w:rsidRPr="00E15FC9" w14:paraId="7418D771" w14:textId="77777777" w:rsidTr="00E15FC9">
        <w:trPr>
          <w:trHeight w:val="135"/>
        </w:trPr>
        <w:tc>
          <w:tcPr>
            <w:tcW w:w="6620" w:type="dxa"/>
            <w:tcBorders>
              <w:top w:val="nil"/>
              <w:left w:val="nil"/>
              <w:bottom w:val="nil"/>
              <w:right w:val="nil"/>
            </w:tcBorders>
            <w:vAlign w:val="center"/>
            <w:hideMark/>
          </w:tcPr>
          <w:p w14:paraId="510D7D5C"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0D8F1D6D"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46688808"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333785E8"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24C28C91" w14:textId="77777777" w:rsidTr="00E15FC9">
        <w:trPr>
          <w:trHeight w:val="360"/>
        </w:trPr>
        <w:tc>
          <w:tcPr>
            <w:tcW w:w="6620" w:type="dxa"/>
            <w:tcBorders>
              <w:top w:val="nil"/>
              <w:left w:val="nil"/>
              <w:bottom w:val="nil"/>
              <w:right w:val="nil"/>
            </w:tcBorders>
            <w:vAlign w:val="center"/>
            <w:hideMark/>
          </w:tcPr>
          <w:p w14:paraId="780DF2CC" w14:textId="38FB227E"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 xml:space="preserve">Donations for </w:t>
            </w:r>
            <w:r w:rsidR="004220D5">
              <w:rPr>
                <w:rFonts w:ascii="Times New Roman" w:eastAsia="Times New Roman" w:hAnsi="Times New Roman" w:cs="Times New Roman"/>
                <w:color w:val="000000"/>
                <w:lang w:eastAsia="en-GB"/>
              </w:rPr>
              <w:t>t</w:t>
            </w:r>
            <w:r w:rsidRPr="00E15FC9">
              <w:rPr>
                <w:rFonts w:ascii="Times New Roman" w:eastAsia="Times New Roman" w:hAnsi="Times New Roman" w:cs="Times New Roman"/>
                <w:color w:val="000000"/>
                <w:lang w:eastAsia="en-GB"/>
              </w:rPr>
              <w:t xml:space="preserve">ea &amp; </w:t>
            </w:r>
            <w:r w:rsidR="004220D5">
              <w:rPr>
                <w:rFonts w:ascii="Times New Roman" w:eastAsia="Times New Roman" w:hAnsi="Times New Roman" w:cs="Times New Roman"/>
                <w:color w:val="000000"/>
                <w:lang w:eastAsia="en-GB"/>
              </w:rPr>
              <w:t>c</w:t>
            </w:r>
            <w:r w:rsidRPr="00E15FC9">
              <w:rPr>
                <w:rFonts w:ascii="Times New Roman" w:eastAsia="Times New Roman" w:hAnsi="Times New Roman" w:cs="Times New Roman"/>
                <w:color w:val="000000"/>
                <w:lang w:eastAsia="en-GB"/>
              </w:rPr>
              <w:t xml:space="preserve">offee </w:t>
            </w:r>
          </w:p>
        </w:tc>
        <w:tc>
          <w:tcPr>
            <w:tcW w:w="960" w:type="dxa"/>
            <w:tcBorders>
              <w:top w:val="nil"/>
              <w:left w:val="nil"/>
              <w:bottom w:val="nil"/>
              <w:right w:val="nil"/>
            </w:tcBorders>
            <w:vAlign w:val="center"/>
            <w:hideMark/>
          </w:tcPr>
          <w:p w14:paraId="4A2879EA"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25.35</w:t>
            </w:r>
          </w:p>
        </w:tc>
        <w:tc>
          <w:tcPr>
            <w:tcW w:w="580" w:type="dxa"/>
            <w:tcBorders>
              <w:top w:val="nil"/>
              <w:left w:val="nil"/>
              <w:bottom w:val="nil"/>
              <w:right w:val="nil"/>
            </w:tcBorders>
            <w:vAlign w:val="center"/>
            <w:hideMark/>
          </w:tcPr>
          <w:p w14:paraId="0DD9DEF3"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7A4ADB0D"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32.46</w:t>
            </w:r>
          </w:p>
        </w:tc>
      </w:tr>
      <w:tr w:rsidR="00E15FC9" w:rsidRPr="00E15FC9" w14:paraId="68483DA5" w14:textId="77777777" w:rsidTr="00E15FC9">
        <w:trPr>
          <w:trHeight w:val="135"/>
        </w:trPr>
        <w:tc>
          <w:tcPr>
            <w:tcW w:w="6620" w:type="dxa"/>
            <w:tcBorders>
              <w:top w:val="nil"/>
              <w:left w:val="nil"/>
              <w:bottom w:val="nil"/>
              <w:right w:val="nil"/>
            </w:tcBorders>
            <w:vAlign w:val="center"/>
            <w:hideMark/>
          </w:tcPr>
          <w:p w14:paraId="5697607B"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085D254E"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786CD3E9"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020A82CA"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091E6B75" w14:textId="77777777" w:rsidTr="00E15FC9">
        <w:trPr>
          <w:trHeight w:val="300"/>
        </w:trPr>
        <w:tc>
          <w:tcPr>
            <w:tcW w:w="6620" w:type="dxa"/>
            <w:tcBorders>
              <w:top w:val="nil"/>
              <w:left w:val="nil"/>
              <w:bottom w:val="nil"/>
              <w:right w:val="nil"/>
            </w:tcBorders>
            <w:vAlign w:val="center"/>
            <w:hideMark/>
          </w:tcPr>
          <w:p w14:paraId="3671E0F9"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Ex gratia compensation payment, Lloyds Bank transfer delay</w:t>
            </w:r>
          </w:p>
        </w:tc>
        <w:tc>
          <w:tcPr>
            <w:tcW w:w="960" w:type="dxa"/>
            <w:tcBorders>
              <w:top w:val="nil"/>
              <w:left w:val="nil"/>
              <w:bottom w:val="nil"/>
              <w:right w:val="nil"/>
            </w:tcBorders>
            <w:vAlign w:val="center"/>
            <w:hideMark/>
          </w:tcPr>
          <w:p w14:paraId="49D08EDE" w14:textId="77777777" w:rsidR="00E15FC9" w:rsidRPr="00E15FC9" w:rsidRDefault="00E15FC9" w:rsidP="00E15FC9">
            <w:pPr>
              <w:jc w:val="cente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w:t>
            </w:r>
          </w:p>
        </w:tc>
        <w:tc>
          <w:tcPr>
            <w:tcW w:w="580" w:type="dxa"/>
            <w:tcBorders>
              <w:top w:val="nil"/>
              <w:left w:val="nil"/>
              <w:bottom w:val="nil"/>
              <w:right w:val="nil"/>
            </w:tcBorders>
            <w:vAlign w:val="center"/>
            <w:hideMark/>
          </w:tcPr>
          <w:p w14:paraId="6105AF64" w14:textId="77777777" w:rsidR="00E15FC9" w:rsidRPr="00E15FC9" w:rsidRDefault="00E15FC9" w:rsidP="00E15FC9">
            <w:pPr>
              <w:jc w:val="cente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322679E1"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30.00</w:t>
            </w:r>
          </w:p>
        </w:tc>
      </w:tr>
      <w:tr w:rsidR="00E15FC9" w:rsidRPr="00E15FC9" w14:paraId="53B709C7" w14:textId="77777777" w:rsidTr="00E15FC9">
        <w:trPr>
          <w:trHeight w:val="150"/>
        </w:trPr>
        <w:tc>
          <w:tcPr>
            <w:tcW w:w="6620" w:type="dxa"/>
            <w:tcBorders>
              <w:top w:val="nil"/>
              <w:left w:val="nil"/>
              <w:bottom w:val="nil"/>
              <w:right w:val="nil"/>
            </w:tcBorders>
            <w:vAlign w:val="center"/>
            <w:hideMark/>
          </w:tcPr>
          <w:p w14:paraId="6F0D1C40"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6501BEA8"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0EFC132B"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77780DD1"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2ADBA19C" w14:textId="77777777" w:rsidTr="00E15FC9">
        <w:trPr>
          <w:trHeight w:val="300"/>
        </w:trPr>
        <w:tc>
          <w:tcPr>
            <w:tcW w:w="6620" w:type="dxa"/>
            <w:tcBorders>
              <w:top w:val="nil"/>
              <w:left w:val="nil"/>
              <w:bottom w:val="nil"/>
              <w:right w:val="nil"/>
            </w:tcBorders>
            <w:vAlign w:val="center"/>
            <w:hideMark/>
          </w:tcPr>
          <w:p w14:paraId="2FFF0510" w14:textId="7EC4F968"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 xml:space="preserve">Advance payment of 2026 </w:t>
            </w:r>
            <w:r>
              <w:rPr>
                <w:rFonts w:ascii="Times New Roman" w:eastAsia="Times New Roman" w:hAnsi="Times New Roman" w:cs="Times New Roman"/>
                <w:color w:val="000000"/>
                <w:lang w:eastAsia="en-GB"/>
              </w:rPr>
              <w:t>s</w:t>
            </w:r>
            <w:r w:rsidRPr="00E15FC9">
              <w:rPr>
                <w:rFonts w:ascii="Times New Roman" w:eastAsia="Times New Roman" w:hAnsi="Times New Roman" w:cs="Times New Roman"/>
                <w:color w:val="000000"/>
                <w:lang w:eastAsia="en-GB"/>
              </w:rPr>
              <w:t>ubscription (held over)</w:t>
            </w:r>
          </w:p>
        </w:tc>
        <w:tc>
          <w:tcPr>
            <w:tcW w:w="960" w:type="dxa"/>
            <w:tcBorders>
              <w:top w:val="nil"/>
              <w:left w:val="nil"/>
              <w:bottom w:val="nil"/>
              <w:right w:val="nil"/>
            </w:tcBorders>
            <w:vAlign w:val="center"/>
            <w:hideMark/>
          </w:tcPr>
          <w:p w14:paraId="6572149F"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12.00</w:t>
            </w:r>
          </w:p>
        </w:tc>
        <w:tc>
          <w:tcPr>
            <w:tcW w:w="580" w:type="dxa"/>
            <w:tcBorders>
              <w:top w:val="nil"/>
              <w:left w:val="nil"/>
              <w:bottom w:val="nil"/>
              <w:right w:val="nil"/>
            </w:tcBorders>
            <w:vAlign w:val="center"/>
            <w:hideMark/>
          </w:tcPr>
          <w:p w14:paraId="648E017C"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36DBD733"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071EB8D1" w14:textId="77777777" w:rsidTr="00E15FC9">
        <w:trPr>
          <w:trHeight w:val="420"/>
        </w:trPr>
        <w:tc>
          <w:tcPr>
            <w:tcW w:w="6620" w:type="dxa"/>
            <w:tcBorders>
              <w:top w:val="nil"/>
              <w:left w:val="nil"/>
              <w:bottom w:val="nil"/>
              <w:right w:val="nil"/>
            </w:tcBorders>
            <w:vAlign w:val="center"/>
            <w:hideMark/>
          </w:tcPr>
          <w:p w14:paraId="46D3AE98" w14:textId="77777777"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 xml:space="preserve">TOTAL INCOME </w:t>
            </w:r>
          </w:p>
        </w:tc>
        <w:tc>
          <w:tcPr>
            <w:tcW w:w="960" w:type="dxa"/>
            <w:tcBorders>
              <w:top w:val="nil"/>
              <w:left w:val="nil"/>
              <w:bottom w:val="nil"/>
              <w:right w:val="nil"/>
            </w:tcBorders>
            <w:vAlign w:val="center"/>
            <w:hideMark/>
          </w:tcPr>
          <w:p w14:paraId="41DDDDA7" w14:textId="77777777" w:rsidR="00E15FC9" w:rsidRPr="00E15FC9" w:rsidRDefault="00E15FC9" w:rsidP="00E15FC9">
            <w:pP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573.85</w:t>
            </w:r>
          </w:p>
        </w:tc>
        <w:tc>
          <w:tcPr>
            <w:tcW w:w="580" w:type="dxa"/>
            <w:tcBorders>
              <w:top w:val="nil"/>
              <w:left w:val="nil"/>
              <w:bottom w:val="nil"/>
              <w:right w:val="nil"/>
            </w:tcBorders>
            <w:vAlign w:val="center"/>
            <w:hideMark/>
          </w:tcPr>
          <w:p w14:paraId="778D20BD" w14:textId="77777777" w:rsidR="00E15FC9" w:rsidRPr="00E15FC9" w:rsidRDefault="00E15FC9" w:rsidP="00E15FC9">
            <w:pP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vAlign w:val="center"/>
            <w:hideMark/>
          </w:tcPr>
          <w:p w14:paraId="7C2DE107" w14:textId="77777777" w:rsidR="00E15FC9" w:rsidRPr="00E15FC9" w:rsidRDefault="00E15FC9" w:rsidP="00E15FC9">
            <w:pP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620.46</w:t>
            </w:r>
          </w:p>
        </w:tc>
      </w:tr>
      <w:tr w:rsidR="00E15FC9" w:rsidRPr="00E15FC9" w14:paraId="4C30C558" w14:textId="77777777" w:rsidTr="00E15FC9">
        <w:trPr>
          <w:trHeight w:val="120"/>
        </w:trPr>
        <w:tc>
          <w:tcPr>
            <w:tcW w:w="6620" w:type="dxa"/>
            <w:tcBorders>
              <w:top w:val="nil"/>
              <w:left w:val="nil"/>
              <w:bottom w:val="nil"/>
              <w:right w:val="nil"/>
            </w:tcBorders>
            <w:vAlign w:val="center"/>
            <w:hideMark/>
          </w:tcPr>
          <w:p w14:paraId="40A4D35D" w14:textId="77777777" w:rsidR="00E15FC9" w:rsidRPr="00E15FC9" w:rsidRDefault="00E15FC9" w:rsidP="00E15FC9">
            <w:pP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vAlign w:val="center"/>
            <w:hideMark/>
          </w:tcPr>
          <w:p w14:paraId="0E4D5B6C"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48B90065"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7C510B70"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635467A2" w14:textId="77777777" w:rsidTr="00E15FC9">
        <w:trPr>
          <w:trHeight w:val="300"/>
        </w:trPr>
        <w:tc>
          <w:tcPr>
            <w:tcW w:w="6620" w:type="dxa"/>
            <w:tcBorders>
              <w:top w:val="nil"/>
              <w:left w:val="nil"/>
              <w:bottom w:val="nil"/>
              <w:right w:val="nil"/>
            </w:tcBorders>
            <w:vAlign w:val="center"/>
            <w:hideMark/>
          </w:tcPr>
          <w:p w14:paraId="060F8BFA" w14:textId="77777777"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 xml:space="preserve">EXPENDITURE </w:t>
            </w:r>
          </w:p>
        </w:tc>
        <w:tc>
          <w:tcPr>
            <w:tcW w:w="960" w:type="dxa"/>
            <w:tcBorders>
              <w:top w:val="nil"/>
              <w:left w:val="nil"/>
              <w:bottom w:val="nil"/>
              <w:right w:val="nil"/>
            </w:tcBorders>
            <w:vAlign w:val="center"/>
            <w:hideMark/>
          </w:tcPr>
          <w:p w14:paraId="1D79A27B" w14:textId="77777777" w:rsidR="00E15FC9" w:rsidRPr="00E15FC9" w:rsidRDefault="00E15FC9" w:rsidP="00E15FC9">
            <w:pPr>
              <w:jc w:val="left"/>
              <w:rPr>
                <w:rFonts w:ascii="Times New Roman" w:eastAsia="Times New Roman" w:hAnsi="Times New Roman" w:cs="Times New Roman"/>
                <w:b/>
                <w:bCs/>
                <w:color w:val="000000"/>
                <w:lang w:eastAsia="en-GB"/>
              </w:rPr>
            </w:pPr>
          </w:p>
        </w:tc>
        <w:tc>
          <w:tcPr>
            <w:tcW w:w="580" w:type="dxa"/>
            <w:tcBorders>
              <w:top w:val="nil"/>
              <w:left w:val="nil"/>
              <w:bottom w:val="nil"/>
              <w:right w:val="nil"/>
            </w:tcBorders>
            <w:vAlign w:val="center"/>
            <w:hideMark/>
          </w:tcPr>
          <w:p w14:paraId="5E5B060C"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6503F17E"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04CCAD9F" w14:textId="77777777" w:rsidTr="00E15FC9">
        <w:trPr>
          <w:trHeight w:val="330"/>
        </w:trPr>
        <w:tc>
          <w:tcPr>
            <w:tcW w:w="6620" w:type="dxa"/>
            <w:tcBorders>
              <w:top w:val="nil"/>
              <w:left w:val="nil"/>
              <w:bottom w:val="nil"/>
              <w:right w:val="nil"/>
            </w:tcBorders>
            <w:vAlign w:val="center"/>
            <w:hideMark/>
          </w:tcPr>
          <w:p w14:paraId="38188B2B" w14:textId="608B0EDE"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Hire of Houghton Room, Wickham Community Centre: (4 eve</w:t>
            </w:r>
            <w:r w:rsidR="006279B8">
              <w:rPr>
                <w:rFonts w:ascii="Times New Roman" w:eastAsia="Times New Roman" w:hAnsi="Times New Roman" w:cs="Times New Roman"/>
                <w:color w:val="000000"/>
                <w:lang w:eastAsia="en-GB"/>
              </w:rPr>
              <w:t>ning</w:t>
            </w:r>
            <w:r w:rsidRPr="00E15FC9">
              <w:rPr>
                <w:rFonts w:ascii="Times New Roman" w:eastAsia="Times New Roman" w:hAnsi="Times New Roman" w:cs="Times New Roman"/>
                <w:color w:val="000000"/>
                <w:lang w:eastAsia="en-GB"/>
              </w:rPr>
              <w:t>s)</w:t>
            </w:r>
          </w:p>
        </w:tc>
        <w:tc>
          <w:tcPr>
            <w:tcW w:w="960" w:type="dxa"/>
            <w:tcBorders>
              <w:top w:val="nil"/>
              <w:left w:val="nil"/>
              <w:bottom w:val="nil"/>
              <w:right w:val="nil"/>
            </w:tcBorders>
            <w:vAlign w:val="center"/>
            <w:hideMark/>
          </w:tcPr>
          <w:p w14:paraId="209FB7E1"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136.00</w:t>
            </w:r>
          </w:p>
        </w:tc>
        <w:tc>
          <w:tcPr>
            <w:tcW w:w="580" w:type="dxa"/>
            <w:tcBorders>
              <w:top w:val="nil"/>
              <w:left w:val="nil"/>
              <w:bottom w:val="nil"/>
              <w:right w:val="nil"/>
            </w:tcBorders>
            <w:vAlign w:val="center"/>
            <w:hideMark/>
          </w:tcPr>
          <w:p w14:paraId="2A5E029D"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73970CA3"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126.00</w:t>
            </w:r>
          </w:p>
        </w:tc>
      </w:tr>
      <w:tr w:rsidR="00E15FC9" w:rsidRPr="00E15FC9" w14:paraId="58640AC6" w14:textId="77777777" w:rsidTr="00E15FC9">
        <w:trPr>
          <w:trHeight w:val="270"/>
        </w:trPr>
        <w:tc>
          <w:tcPr>
            <w:tcW w:w="6620" w:type="dxa"/>
            <w:tcBorders>
              <w:top w:val="nil"/>
              <w:left w:val="nil"/>
              <w:bottom w:val="nil"/>
              <w:right w:val="nil"/>
            </w:tcBorders>
            <w:vAlign w:val="center"/>
            <w:hideMark/>
          </w:tcPr>
          <w:p w14:paraId="3B2D6F86"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Hire of Woodford Suite, W.C.C. (November)</w:t>
            </w:r>
          </w:p>
        </w:tc>
        <w:tc>
          <w:tcPr>
            <w:tcW w:w="960" w:type="dxa"/>
            <w:tcBorders>
              <w:top w:val="nil"/>
              <w:left w:val="nil"/>
              <w:bottom w:val="nil"/>
              <w:right w:val="nil"/>
            </w:tcBorders>
            <w:vAlign w:val="center"/>
            <w:hideMark/>
          </w:tcPr>
          <w:p w14:paraId="591C3B73"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49.00</w:t>
            </w:r>
          </w:p>
        </w:tc>
        <w:tc>
          <w:tcPr>
            <w:tcW w:w="580" w:type="dxa"/>
            <w:tcBorders>
              <w:top w:val="nil"/>
              <w:left w:val="nil"/>
              <w:bottom w:val="nil"/>
              <w:right w:val="nil"/>
            </w:tcBorders>
            <w:vAlign w:val="center"/>
            <w:hideMark/>
          </w:tcPr>
          <w:p w14:paraId="2B218777"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4056AE28"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7CF09272" w14:textId="77777777" w:rsidTr="00E15FC9">
        <w:trPr>
          <w:trHeight w:val="225"/>
        </w:trPr>
        <w:tc>
          <w:tcPr>
            <w:tcW w:w="6620" w:type="dxa"/>
            <w:tcBorders>
              <w:top w:val="nil"/>
              <w:left w:val="nil"/>
              <w:bottom w:val="nil"/>
              <w:right w:val="nil"/>
            </w:tcBorders>
            <w:vAlign w:val="center"/>
            <w:hideMark/>
          </w:tcPr>
          <w:p w14:paraId="10FE2A65"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Hire of Woodford Suite, W.C.C. (May 2024, December 2023))</w:t>
            </w:r>
          </w:p>
        </w:tc>
        <w:tc>
          <w:tcPr>
            <w:tcW w:w="960" w:type="dxa"/>
            <w:tcBorders>
              <w:top w:val="nil"/>
              <w:left w:val="nil"/>
              <w:bottom w:val="nil"/>
              <w:right w:val="nil"/>
            </w:tcBorders>
            <w:vAlign w:val="center"/>
            <w:hideMark/>
          </w:tcPr>
          <w:p w14:paraId="01AD1DB7" w14:textId="77777777" w:rsidR="00E15FC9" w:rsidRPr="00E15FC9" w:rsidRDefault="00E15FC9" w:rsidP="00E15FC9">
            <w:pPr>
              <w:jc w:val="left"/>
              <w:rPr>
                <w:rFonts w:ascii="Times New Roman" w:eastAsia="Times New Roman" w:hAnsi="Times New Roman" w:cs="Times New Roman"/>
                <w:color w:val="000000"/>
                <w:lang w:eastAsia="en-GB"/>
              </w:rPr>
            </w:pPr>
          </w:p>
        </w:tc>
        <w:tc>
          <w:tcPr>
            <w:tcW w:w="580" w:type="dxa"/>
            <w:tcBorders>
              <w:top w:val="nil"/>
              <w:left w:val="nil"/>
              <w:bottom w:val="nil"/>
              <w:right w:val="nil"/>
            </w:tcBorders>
            <w:vAlign w:val="center"/>
            <w:hideMark/>
          </w:tcPr>
          <w:p w14:paraId="6959B1B8"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3103E18C"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49.00</w:t>
            </w:r>
          </w:p>
        </w:tc>
      </w:tr>
      <w:tr w:rsidR="00E15FC9" w:rsidRPr="00E15FC9" w14:paraId="01BAE8CA" w14:textId="77777777" w:rsidTr="00E15FC9">
        <w:trPr>
          <w:trHeight w:val="120"/>
        </w:trPr>
        <w:tc>
          <w:tcPr>
            <w:tcW w:w="6620" w:type="dxa"/>
            <w:tcBorders>
              <w:top w:val="nil"/>
              <w:left w:val="nil"/>
              <w:bottom w:val="nil"/>
              <w:right w:val="nil"/>
            </w:tcBorders>
            <w:vAlign w:val="center"/>
            <w:hideMark/>
          </w:tcPr>
          <w:p w14:paraId="342F1068"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0C953C54"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54380E1F"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0582B087"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219CD6A4" w14:textId="77777777" w:rsidTr="00E15FC9">
        <w:trPr>
          <w:trHeight w:val="300"/>
        </w:trPr>
        <w:tc>
          <w:tcPr>
            <w:tcW w:w="6620" w:type="dxa"/>
            <w:tcBorders>
              <w:top w:val="nil"/>
              <w:left w:val="nil"/>
              <w:bottom w:val="nil"/>
              <w:right w:val="nil"/>
            </w:tcBorders>
            <w:vAlign w:val="center"/>
            <w:hideMark/>
          </w:tcPr>
          <w:p w14:paraId="7A813444"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Speaker’s Fees, Expenses (excluding shared Christmas meeting)</w:t>
            </w:r>
          </w:p>
        </w:tc>
        <w:tc>
          <w:tcPr>
            <w:tcW w:w="960" w:type="dxa"/>
            <w:tcBorders>
              <w:top w:val="nil"/>
              <w:left w:val="nil"/>
              <w:bottom w:val="nil"/>
              <w:right w:val="nil"/>
            </w:tcBorders>
            <w:vAlign w:val="center"/>
            <w:hideMark/>
          </w:tcPr>
          <w:p w14:paraId="49BF1F53"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161.27</w:t>
            </w:r>
          </w:p>
        </w:tc>
        <w:tc>
          <w:tcPr>
            <w:tcW w:w="580" w:type="dxa"/>
            <w:tcBorders>
              <w:top w:val="nil"/>
              <w:left w:val="nil"/>
              <w:bottom w:val="nil"/>
              <w:right w:val="nil"/>
            </w:tcBorders>
            <w:vAlign w:val="center"/>
            <w:hideMark/>
          </w:tcPr>
          <w:p w14:paraId="44217F0E"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54141600"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220.95</w:t>
            </w:r>
          </w:p>
        </w:tc>
      </w:tr>
      <w:tr w:rsidR="00E15FC9" w:rsidRPr="00E15FC9" w14:paraId="6ECF7C8B" w14:textId="77777777" w:rsidTr="00E15FC9">
        <w:trPr>
          <w:trHeight w:val="165"/>
        </w:trPr>
        <w:tc>
          <w:tcPr>
            <w:tcW w:w="6620" w:type="dxa"/>
            <w:tcBorders>
              <w:top w:val="nil"/>
              <w:left w:val="nil"/>
              <w:bottom w:val="nil"/>
              <w:right w:val="nil"/>
            </w:tcBorders>
            <w:vAlign w:val="center"/>
            <w:hideMark/>
          </w:tcPr>
          <w:p w14:paraId="18E326D9"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5D56216E"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4C4D678E"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508A9052"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6F97A732" w14:textId="77777777" w:rsidTr="00E15FC9">
        <w:trPr>
          <w:trHeight w:val="300"/>
        </w:trPr>
        <w:tc>
          <w:tcPr>
            <w:tcW w:w="6620" w:type="dxa"/>
            <w:tcBorders>
              <w:top w:val="nil"/>
              <w:left w:val="nil"/>
              <w:bottom w:val="nil"/>
              <w:right w:val="nil"/>
            </w:tcBorders>
            <w:vAlign w:val="center"/>
            <w:hideMark/>
          </w:tcPr>
          <w:p w14:paraId="28E9C9C6"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Refreshments for shared December meeting</w:t>
            </w:r>
          </w:p>
        </w:tc>
        <w:tc>
          <w:tcPr>
            <w:tcW w:w="960" w:type="dxa"/>
            <w:tcBorders>
              <w:top w:val="nil"/>
              <w:left w:val="nil"/>
              <w:bottom w:val="nil"/>
              <w:right w:val="nil"/>
            </w:tcBorders>
            <w:vAlign w:val="center"/>
            <w:hideMark/>
          </w:tcPr>
          <w:p w14:paraId="2BEE6C59"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71.15</w:t>
            </w:r>
          </w:p>
        </w:tc>
        <w:tc>
          <w:tcPr>
            <w:tcW w:w="580" w:type="dxa"/>
            <w:tcBorders>
              <w:top w:val="nil"/>
              <w:left w:val="nil"/>
              <w:bottom w:val="nil"/>
              <w:right w:val="nil"/>
            </w:tcBorders>
            <w:vAlign w:val="center"/>
            <w:hideMark/>
          </w:tcPr>
          <w:p w14:paraId="74BF6DBE"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6EE202F0"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75.80</w:t>
            </w:r>
          </w:p>
        </w:tc>
      </w:tr>
      <w:tr w:rsidR="00E15FC9" w:rsidRPr="00E15FC9" w14:paraId="1CA23AE2" w14:textId="77777777" w:rsidTr="00E15FC9">
        <w:trPr>
          <w:trHeight w:val="285"/>
        </w:trPr>
        <w:tc>
          <w:tcPr>
            <w:tcW w:w="6620" w:type="dxa"/>
            <w:tcBorders>
              <w:top w:val="nil"/>
              <w:left w:val="nil"/>
              <w:bottom w:val="nil"/>
              <w:right w:val="nil"/>
            </w:tcBorders>
            <w:vAlign w:val="center"/>
            <w:hideMark/>
          </w:tcPr>
          <w:p w14:paraId="27F62CAA"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Additional expenses for shared Christmas meeting</w:t>
            </w:r>
          </w:p>
        </w:tc>
        <w:tc>
          <w:tcPr>
            <w:tcW w:w="960" w:type="dxa"/>
            <w:tcBorders>
              <w:top w:val="nil"/>
              <w:left w:val="nil"/>
              <w:bottom w:val="nil"/>
              <w:right w:val="nil"/>
            </w:tcBorders>
            <w:vAlign w:val="center"/>
            <w:hideMark/>
          </w:tcPr>
          <w:p w14:paraId="2A1C4735"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58.55</w:t>
            </w:r>
          </w:p>
        </w:tc>
        <w:tc>
          <w:tcPr>
            <w:tcW w:w="580" w:type="dxa"/>
            <w:tcBorders>
              <w:top w:val="nil"/>
              <w:left w:val="nil"/>
              <w:bottom w:val="nil"/>
              <w:right w:val="nil"/>
            </w:tcBorders>
            <w:vAlign w:val="center"/>
            <w:hideMark/>
          </w:tcPr>
          <w:p w14:paraId="19E480BE"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6E2BAD3F"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58.40</w:t>
            </w:r>
          </w:p>
        </w:tc>
      </w:tr>
      <w:tr w:rsidR="00E15FC9" w:rsidRPr="00E15FC9" w14:paraId="578E624A" w14:textId="77777777" w:rsidTr="00E15FC9">
        <w:trPr>
          <w:trHeight w:val="120"/>
        </w:trPr>
        <w:tc>
          <w:tcPr>
            <w:tcW w:w="6620" w:type="dxa"/>
            <w:tcBorders>
              <w:top w:val="nil"/>
              <w:left w:val="nil"/>
              <w:bottom w:val="nil"/>
              <w:right w:val="nil"/>
            </w:tcBorders>
            <w:vAlign w:val="center"/>
            <w:hideMark/>
          </w:tcPr>
          <w:p w14:paraId="16B9A049"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6A46BC20"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36AC0CE3"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01774493"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7916BDEA" w14:textId="77777777" w:rsidTr="00E15FC9">
        <w:trPr>
          <w:trHeight w:val="300"/>
        </w:trPr>
        <w:tc>
          <w:tcPr>
            <w:tcW w:w="6620" w:type="dxa"/>
            <w:tcBorders>
              <w:top w:val="nil"/>
              <w:left w:val="nil"/>
              <w:bottom w:val="nil"/>
              <w:right w:val="nil"/>
            </w:tcBorders>
            <w:vAlign w:val="center"/>
            <w:hideMark/>
          </w:tcPr>
          <w:p w14:paraId="0C5D9524"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Tea &amp; coffee expenses</w:t>
            </w:r>
          </w:p>
        </w:tc>
        <w:tc>
          <w:tcPr>
            <w:tcW w:w="960" w:type="dxa"/>
            <w:tcBorders>
              <w:top w:val="nil"/>
              <w:left w:val="nil"/>
              <w:bottom w:val="nil"/>
              <w:right w:val="nil"/>
            </w:tcBorders>
            <w:vAlign w:val="center"/>
            <w:hideMark/>
          </w:tcPr>
          <w:p w14:paraId="7D2F465D" w14:textId="77777777" w:rsidR="00E15FC9" w:rsidRPr="00E15FC9" w:rsidRDefault="00E15FC9" w:rsidP="00E15FC9">
            <w:pPr>
              <w:jc w:val="cente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Nil</w:t>
            </w:r>
          </w:p>
        </w:tc>
        <w:tc>
          <w:tcPr>
            <w:tcW w:w="580" w:type="dxa"/>
            <w:tcBorders>
              <w:top w:val="nil"/>
              <w:left w:val="nil"/>
              <w:bottom w:val="nil"/>
              <w:right w:val="nil"/>
            </w:tcBorders>
            <w:vAlign w:val="center"/>
            <w:hideMark/>
          </w:tcPr>
          <w:p w14:paraId="19AB5825" w14:textId="77777777" w:rsidR="00E15FC9" w:rsidRPr="00E15FC9" w:rsidRDefault="00E15FC9" w:rsidP="00E15FC9">
            <w:pPr>
              <w:jc w:val="cente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5D614EBE" w14:textId="77777777" w:rsidR="00E15FC9" w:rsidRPr="00E15FC9" w:rsidRDefault="00E15FC9" w:rsidP="00E15FC9">
            <w:pPr>
              <w:jc w:val="cente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Nil</w:t>
            </w:r>
          </w:p>
        </w:tc>
      </w:tr>
      <w:tr w:rsidR="00E15FC9" w:rsidRPr="00E15FC9" w14:paraId="6863A046" w14:textId="77777777" w:rsidTr="00E15FC9">
        <w:trPr>
          <w:trHeight w:val="120"/>
        </w:trPr>
        <w:tc>
          <w:tcPr>
            <w:tcW w:w="6620" w:type="dxa"/>
            <w:tcBorders>
              <w:top w:val="nil"/>
              <w:left w:val="nil"/>
              <w:bottom w:val="nil"/>
              <w:right w:val="nil"/>
            </w:tcBorders>
            <w:vAlign w:val="center"/>
            <w:hideMark/>
          </w:tcPr>
          <w:p w14:paraId="7880B39D" w14:textId="77777777" w:rsidR="00E15FC9" w:rsidRPr="00E15FC9" w:rsidRDefault="00E15FC9" w:rsidP="00E15FC9">
            <w:pPr>
              <w:jc w:val="cente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7C7786BE"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107918D8" w14:textId="77777777" w:rsidR="00E15FC9" w:rsidRPr="00E15FC9" w:rsidRDefault="00E15FC9" w:rsidP="00E15FC9">
            <w:pPr>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10BAC6A7" w14:textId="77777777" w:rsidR="00E15FC9" w:rsidRPr="00E15FC9" w:rsidRDefault="00E15FC9" w:rsidP="00E15FC9">
            <w:pPr>
              <w:jc w:val="center"/>
              <w:rPr>
                <w:rFonts w:ascii="Times New Roman" w:eastAsia="Times New Roman" w:hAnsi="Times New Roman" w:cs="Times New Roman"/>
                <w:sz w:val="20"/>
                <w:szCs w:val="20"/>
                <w:lang w:eastAsia="en-GB"/>
              </w:rPr>
            </w:pPr>
          </w:p>
        </w:tc>
      </w:tr>
      <w:tr w:rsidR="00E15FC9" w:rsidRPr="00E15FC9" w14:paraId="2D4E5A15" w14:textId="77777777" w:rsidTr="00E15FC9">
        <w:trPr>
          <w:trHeight w:val="300"/>
        </w:trPr>
        <w:tc>
          <w:tcPr>
            <w:tcW w:w="6620" w:type="dxa"/>
            <w:tcBorders>
              <w:top w:val="nil"/>
              <w:left w:val="nil"/>
              <w:bottom w:val="nil"/>
              <w:right w:val="nil"/>
            </w:tcBorders>
            <w:vAlign w:val="center"/>
            <w:hideMark/>
          </w:tcPr>
          <w:p w14:paraId="510892B1" w14:textId="32C9CE78"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 xml:space="preserve">Renewal of </w:t>
            </w:r>
            <w:r w:rsidR="00F46CC5" w:rsidRPr="00E15FC9">
              <w:rPr>
                <w:rFonts w:ascii="Times New Roman" w:eastAsia="Times New Roman" w:hAnsi="Times New Roman" w:cs="Times New Roman"/>
                <w:i/>
                <w:iCs/>
                <w:color w:val="000000"/>
                <w:lang w:eastAsia="en-GB"/>
              </w:rPr>
              <w:t xml:space="preserve">wickham.org.uk </w:t>
            </w:r>
            <w:r w:rsidR="00F46CC5" w:rsidRPr="00E15FC9">
              <w:rPr>
                <w:rFonts w:ascii="Times New Roman" w:eastAsia="Times New Roman" w:hAnsi="Times New Roman" w:cs="Times New Roman"/>
                <w:color w:val="000000"/>
                <w:lang w:eastAsia="en-GB"/>
              </w:rPr>
              <w:t>website</w:t>
            </w:r>
            <w:r w:rsidRPr="00E15FC9">
              <w:rPr>
                <w:rFonts w:ascii="Times New Roman" w:eastAsia="Times New Roman" w:hAnsi="Times New Roman" w:cs="Times New Roman"/>
                <w:color w:val="000000"/>
                <w:lang w:eastAsia="en-GB"/>
              </w:rPr>
              <w:t xml:space="preserve"> hosting service</w:t>
            </w:r>
          </w:p>
        </w:tc>
        <w:tc>
          <w:tcPr>
            <w:tcW w:w="960" w:type="dxa"/>
            <w:tcBorders>
              <w:top w:val="nil"/>
              <w:left w:val="nil"/>
              <w:bottom w:val="nil"/>
              <w:right w:val="nil"/>
            </w:tcBorders>
            <w:vAlign w:val="center"/>
            <w:hideMark/>
          </w:tcPr>
          <w:p w14:paraId="50F07467"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56.99</w:t>
            </w:r>
          </w:p>
        </w:tc>
        <w:tc>
          <w:tcPr>
            <w:tcW w:w="580" w:type="dxa"/>
            <w:tcBorders>
              <w:top w:val="nil"/>
              <w:left w:val="nil"/>
              <w:bottom w:val="nil"/>
              <w:right w:val="nil"/>
            </w:tcBorders>
            <w:vAlign w:val="center"/>
            <w:hideMark/>
          </w:tcPr>
          <w:p w14:paraId="33AE8709"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497F2229"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56.99</w:t>
            </w:r>
          </w:p>
        </w:tc>
      </w:tr>
      <w:tr w:rsidR="00E15FC9" w:rsidRPr="00E15FC9" w14:paraId="7B06DF5D" w14:textId="77777777" w:rsidTr="00E15FC9">
        <w:trPr>
          <w:trHeight w:val="105"/>
        </w:trPr>
        <w:tc>
          <w:tcPr>
            <w:tcW w:w="6620" w:type="dxa"/>
            <w:tcBorders>
              <w:top w:val="nil"/>
              <w:left w:val="nil"/>
              <w:bottom w:val="nil"/>
              <w:right w:val="nil"/>
            </w:tcBorders>
            <w:vAlign w:val="center"/>
            <w:hideMark/>
          </w:tcPr>
          <w:p w14:paraId="31E2B3A4"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61127683"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1C597AED"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2FCD88D3"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288E7601" w14:textId="77777777" w:rsidTr="00E15FC9">
        <w:trPr>
          <w:trHeight w:val="300"/>
        </w:trPr>
        <w:tc>
          <w:tcPr>
            <w:tcW w:w="6620" w:type="dxa"/>
            <w:tcBorders>
              <w:top w:val="nil"/>
              <w:left w:val="nil"/>
              <w:bottom w:val="nil"/>
              <w:right w:val="nil"/>
            </w:tcBorders>
            <w:vAlign w:val="center"/>
            <w:hideMark/>
          </w:tcPr>
          <w:p w14:paraId="51B3F562"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Lloyds Account charges (new expense in 2025)</w:t>
            </w:r>
          </w:p>
        </w:tc>
        <w:tc>
          <w:tcPr>
            <w:tcW w:w="960" w:type="dxa"/>
            <w:tcBorders>
              <w:top w:val="nil"/>
              <w:left w:val="nil"/>
              <w:bottom w:val="nil"/>
              <w:right w:val="nil"/>
            </w:tcBorders>
            <w:vAlign w:val="center"/>
            <w:hideMark/>
          </w:tcPr>
          <w:p w14:paraId="7FD9A184"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43.83</w:t>
            </w:r>
          </w:p>
        </w:tc>
        <w:tc>
          <w:tcPr>
            <w:tcW w:w="580" w:type="dxa"/>
            <w:tcBorders>
              <w:top w:val="nil"/>
              <w:left w:val="nil"/>
              <w:bottom w:val="nil"/>
              <w:right w:val="nil"/>
            </w:tcBorders>
            <w:vAlign w:val="center"/>
            <w:hideMark/>
          </w:tcPr>
          <w:p w14:paraId="5B163AE4"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7EDE1311" w14:textId="77777777" w:rsidR="00E15FC9" w:rsidRPr="00E15FC9" w:rsidRDefault="00E15FC9" w:rsidP="00E15FC9">
            <w:pPr>
              <w:jc w:val="cente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n/a</w:t>
            </w:r>
          </w:p>
        </w:tc>
      </w:tr>
      <w:tr w:rsidR="00E15FC9" w:rsidRPr="00E15FC9" w14:paraId="62AFAA0C" w14:textId="77777777" w:rsidTr="00E15FC9">
        <w:trPr>
          <w:trHeight w:val="150"/>
        </w:trPr>
        <w:tc>
          <w:tcPr>
            <w:tcW w:w="6620" w:type="dxa"/>
            <w:tcBorders>
              <w:top w:val="nil"/>
              <w:left w:val="nil"/>
              <w:bottom w:val="nil"/>
              <w:right w:val="nil"/>
            </w:tcBorders>
            <w:vAlign w:val="center"/>
            <w:hideMark/>
          </w:tcPr>
          <w:p w14:paraId="7C51BD88" w14:textId="77777777" w:rsidR="00E15FC9" w:rsidRPr="00E15FC9" w:rsidRDefault="00E15FC9" w:rsidP="00E15FC9">
            <w:pPr>
              <w:jc w:val="cente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66E0FAF2"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60080F85" w14:textId="77777777" w:rsidR="00E15FC9" w:rsidRPr="00E15FC9" w:rsidRDefault="00E15FC9" w:rsidP="00E15FC9">
            <w:pPr>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304859F4" w14:textId="77777777" w:rsidR="00E15FC9" w:rsidRPr="00E15FC9" w:rsidRDefault="00E15FC9" w:rsidP="00E15FC9">
            <w:pPr>
              <w:jc w:val="center"/>
              <w:rPr>
                <w:rFonts w:ascii="Times New Roman" w:eastAsia="Times New Roman" w:hAnsi="Times New Roman" w:cs="Times New Roman"/>
                <w:sz w:val="20"/>
                <w:szCs w:val="20"/>
                <w:lang w:eastAsia="en-GB"/>
              </w:rPr>
            </w:pPr>
          </w:p>
        </w:tc>
      </w:tr>
      <w:tr w:rsidR="00E15FC9" w:rsidRPr="00E15FC9" w14:paraId="4909CEB5" w14:textId="77777777" w:rsidTr="00E15FC9">
        <w:trPr>
          <w:trHeight w:val="300"/>
        </w:trPr>
        <w:tc>
          <w:tcPr>
            <w:tcW w:w="6620" w:type="dxa"/>
            <w:tcBorders>
              <w:top w:val="nil"/>
              <w:left w:val="nil"/>
              <w:bottom w:val="nil"/>
              <w:right w:val="nil"/>
            </w:tcBorders>
            <w:vAlign w:val="center"/>
            <w:hideMark/>
          </w:tcPr>
          <w:p w14:paraId="081B8859" w14:textId="2575C9EE" w:rsidR="00E15FC9" w:rsidRPr="00E15FC9" w:rsidRDefault="00E15FC9" w:rsidP="00E15FC9">
            <w:pPr>
              <w:jc w:val="left"/>
              <w:rPr>
                <w:rFonts w:ascii="Times New Roman" w:eastAsia="Times New Roman" w:hAnsi="Times New Roman" w:cs="Times New Roman"/>
                <w:color w:val="000000"/>
                <w:lang w:eastAsia="en-GB"/>
              </w:rPr>
            </w:pPr>
            <w:proofErr w:type="spellStart"/>
            <w:r w:rsidRPr="00E15FC9">
              <w:rPr>
                <w:rFonts w:ascii="Times New Roman" w:eastAsia="Times New Roman" w:hAnsi="Times New Roman" w:cs="Times New Roman"/>
                <w:color w:val="000000"/>
                <w:lang w:eastAsia="en-GB"/>
              </w:rPr>
              <w:t>SumUp</w:t>
            </w:r>
            <w:proofErr w:type="spellEnd"/>
            <w:r w:rsidRPr="00E15FC9">
              <w:rPr>
                <w:rFonts w:ascii="Times New Roman" w:eastAsia="Times New Roman" w:hAnsi="Times New Roman" w:cs="Times New Roman"/>
                <w:color w:val="000000"/>
                <w:lang w:eastAsia="en-GB"/>
              </w:rPr>
              <w:t xml:space="preserve"> </w:t>
            </w:r>
            <w:r w:rsidR="00727A29">
              <w:rPr>
                <w:rFonts w:ascii="Times New Roman" w:eastAsia="Times New Roman" w:hAnsi="Times New Roman" w:cs="Times New Roman"/>
                <w:color w:val="000000"/>
                <w:lang w:eastAsia="en-GB"/>
              </w:rPr>
              <w:t>c</w:t>
            </w:r>
            <w:r w:rsidRPr="00E15FC9">
              <w:rPr>
                <w:rFonts w:ascii="Times New Roman" w:eastAsia="Times New Roman" w:hAnsi="Times New Roman" w:cs="Times New Roman"/>
                <w:color w:val="000000"/>
                <w:lang w:eastAsia="en-GB"/>
              </w:rPr>
              <w:t xml:space="preserve">redit </w:t>
            </w:r>
            <w:r w:rsidR="00727A29">
              <w:rPr>
                <w:rFonts w:ascii="Times New Roman" w:eastAsia="Times New Roman" w:hAnsi="Times New Roman" w:cs="Times New Roman"/>
                <w:color w:val="000000"/>
                <w:lang w:eastAsia="en-GB"/>
              </w:rPr>
              <w:t>c</w:t>
            </w:r>
            <w:r w:rsidRPr="00E15FC9">
              <w:rPr>
                <w:rFonts w:ascii="Times New Roman" w:eastAsia="Times New Roman" w:hAnsi="Times New Roman" w:cs="Times New Roman"/>
                <w:color w:val="000000"/>
                <w:lang w:eastAsia="en-GB"/>
              </w:rPr>
              <w:t>ard payment fees</w:t>
            </w:r>
          </w:p>
        </w:tc>
        <w:tc>
          <w:tcPr>
            <w:tcW w:w="960" w:type="dxa"/>
            <w:tcBorders>
              <w:top w:val="nil"/>
              <w:left w:val="nil"/>
              <w:bottom w:val="nil"/>
              <w:right w:val="nil"/>
            </w:tcBorders>
            <w:vAlign w:val="center"/>
            <w:hideMark/>
          </w:tcPr>
          <w:p w14:paraId="234A66B8"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Nil</w:t>
            </w:r>
          </w:p>
        </w:tc>
        <w:tc>
          <w:tcPr>
            <w:tcW w:w="580" w:type="dxa"/>
            <w:tcBorders>
              <w:top w:val="nil"/>
              <w:left w:val="nil"/>
              <w:bottom w:val="nil"/>
              <w:right w:val="nil"/>
            </w:tcBorders>
            <w:vAlign w:val="center"/>
            <w:hideMark/>
          </w:tcPr>
          <w:p w14:paraId="78537702"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35098396"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0.60</w:t>
            </w:r>
          </w:p>
        </w:tc>
      </w:tr>
      <w:tr w:rsidR="00E15FC9" w:rsidRPr="00E15FC9" w14:paraId="448B6870" w14:textId="77777777" w:rsidTr="00E15FC9">
        <w:trPr>
          <w:trHeight w:val="120"/>
        </w:trPr>
        <w:tc>
          <w:tcPr>
            <w:tcW w:w="6620" w:type="dxa"/>
            <w:tcBorders>
              <w:top w:val="nil"/>
              <w:left w:val="nil"/>
              <w:bottom w:val="nil"/>
              <w:right w:val="nil"/>
            </w:tcBorders>
            <w:vAlign w:val="center"/>
            <w:hideMark/>
          </w:tcPr>
          <w:p w14:paraId="184BDEF5"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31B51161"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0A688ECF"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683B4322"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3AEFAF5B" w14:textId="77777777" w:rsidTr="00E15FC9">
        <w:trPr>
          <w:trHeight w:val="300"/>
        </w:trPr>
        <w:tc>
          <w:tcPr>
            <w:tcW w:w="6620" w:type="dxa"/>
            <w:tcBorders>
              <w:top w:val="nil"/>
              <w:left w:val="nil"/>
              <w:bottom w:val="nil"/>
              <w:right w:val="nil"/>
            </w:tcBorders>
            <w:vAlign w:val="center"/>
            <w:hideMark/>
          </w:tcPr>
          <w:p w14:paraId="3332588B" w14:textId="77777777"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TOTAL EXPENDITURE</w:t>
            </w:r>
          </w:p>
        </w:tc>
        <w:tc>
          <w:tcPr>
            <w:tcW w:w="960" w:type="dxa"/>
            <w:tcBorders>
              <w:top w:val="nil"/>
              <w:left w:val="nil"/>
              <w:bottom w:val="nil"/>
              <w:right w:val="nil"/>
            </w:tcBorders>
            <w:vAlign w:val="center"/>
            <w:hideMark/>
          </w:tcPr>
          <w:p w14:paraId="2D7BADC1" w14:textId="77777777" w:rsidR="00E15FC9" w:rsidRPr="00E15FC9" w:rsidRDefault="00E15FC9" w:rsidP="00E15FC9">
            <w:pP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576.79</w:t>
            </w:r>
          </w:p>
        </w:tc>
        <w:tc>
          <w:tcPr>
            <w:tcW w:w="580" w:type="dxa"/>
            <w:tcBorders>
              <w:top w:val="nil"/>
              <w:left w:val="nil"/>
              <w:bottom w:val="nil"/>
              <w:right w:val="nil"/>
            </w:tcBorders>
            <w:vAlign w:val="center"/>
            <w:hideMark/>
          </w:tcPr>
          <w:p w14:paraId="7CC5961B" w14:textId="77777777" w:rsidR="00E15FC9" w:rsidRPr="00E15FC9" w:rsidRDefault="00E15FC9" w:rsidP="00E15FC9">
            <w:pP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vAlign w:val="center"/>
            <w:hideMark/>
          </w:tcPr>
          <w:p w14:paraId="431C9793" w14:textId="77777777" w:rsidR="00E15FC9" w:rsidRPr="00E15FC9" w:rsidRDefault="00E15FC9" w:rsidP="00E15FC9">
            <w:pP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587.74</w:t>
            </w:r>
          </w:p>
        </w:tc>
      </w:tr>
      <w:tr w:rsidR="00E15FC9" w:rsidRPr="00E15FC9" w14:paraId="06F9CE80" w14:textId="77777777" w:rsidTr="00E15FC9">
        <w:trPr>
          <w:trHeight w:val="120"/>
        </w:trPr>
        <w:tc>
          <w:tcPr>
            <w:tcW w:w="6620" w:type="dxa"/>
            <w:tcBorders>
              <w:top w:val="nil"/>
              <w:left w:val="nil"/>
              <w:bottom w:val="nil"/>
              <w:right w:val="nil"/>
            </w:tcBorders>
            <w:vAlign w:val="center"/>
            <w:hideMark/>
          </w:tcPr>
          <w:p w14:paraId="1826FE71" w14:textId="77777777" w:rsidR="00E15FC9" w:rsidRPr="00E15FC9" w:rsidRDefault="00E15FC9" w:rsidP="00E15FC9">
            <w:pP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vAlign w:val="center"/>
            <w:hideMark/>
          </w:tcPr>
          <w:p w14:paraId="2AFBFA5C"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1FC075F0"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35793BD9"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58F68D35" w14:textId="77777777" w:rsidTr="00E15FC9">
        <w:trPr>
          <w:trHeight w:val="300"/>
        </w:trPr>
        <w:tc>
          <w:tcPr>
            <w:tcW w:w="6620" w:type="dxa"/>
            <w:tcBorders>
              <w:top w:val="nil"/>
              <w:left w:val="nil"/>
              <w:bottom w:val="nil"/>
              <w:right w:val="nil"/>
            </w:tcBorders>
            <w:vAlign w:val="center"/>
            <w:hideMark/>
          </w:tcPr>
          <w:p w14:paraId="3873AFBC" w14:textId="1DF0FA5F"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 xml:space="preserve">Profit / loss for the </w:t>
            </w:r>
            <w:r w:rsidR="00CE5DD4" w:rsidRPr="00E15FC9">
              <w:rPr>
                <w:rFonts w:ascii="Times New Roman" w:eastAsia="Times New Roman" w:hAnsi="Times New Roman" w:cs="Times New Roman"/>
                <w:b/>
                <w:bCs/>
                <w:color w:val="000000"/>
                <w:lang w:eastAsia="en-GB"/>
              </w:rPr>
              <w:t>year, Excess</w:t>
            </w:r>
            <w:r w:rsidRPr="00E15FC9">
              <w:rPr>
                <w:rFonts w:ascii="Times New Roman" w:eastAsia="Times New Roman" w:hAnsi="Times New Roman" w:cs="Times New Roman"/>
                <w:b/>
                <w:bCs/>
                <w:color w:val="000000"/>
                <w:lang w:eastAsia="en-GB"/>
              </w:rPr>
              <w:t xml:space="preserve"> Income over Expenditure</w:t>
            </w:r>
          </w:p>
        </w:tc>
        <w:tc>
          <w:tcPr>
            <w:tcW w:w="960" w:type="dxa"/>
            <w:tcBorders>
              <w:top w:val="nil"/>
              <w:left w:val="nil"/>
              <w:bottom w:val="nil"/>
              <w:right w:val="nil"/>
            </w:tcBorders>
            <w:vAlign w:val="center"/>
            <w:hideMark/>
          </w:tcPr>
          <w:p w14:paraId="492991B8" w14:textId="77777777" w:rsidR="00E15FC9" w:rsidRPr="00E15FC9" w:rsidRDefault="00E15FC9" w:rsidP="00E15FC9">
            <w:pPr>
              <w:rPr>
                <w:rFonts w:ascii="Times New Roman" w:eastAsia="Times New Roman" w:hAnsi="Times New Roman" w:cs="Times New Roman"/>
                <w:b/>
                <w:bCs/>
                <w:color w:val="FF0000"/>
                <w:u w:val="single"/>
                <w:lang w:eastAsia="en-GB"/>
              </w:rPr>
            </w:pPr>
            <w:r w:rsidRPr="00E15FC9">
              <w:rPr>
                <w:rFonts w:ascii="Times New Roman" w:eastAsia="Times New Roman" w:hAnsi="Times New Roman" w:cs="Times New Roman"/>
                <w:b/>
                <w:bCs/>
                <w:color w:val="FF0000"/>
                <w:u w:val="single"/>
                <w:lang w:eastAsia="en-GB"/>
              </w:rPr>
              <w:t>(2.94)</w:t>
            </w:r>
          </w:p>
        </w:tc>
        <w:tc>
          <w:tcPr>
            <w:tcW w:w="580" w:type="dxa"/>
            <w:tcBorders>
              <w:top w:val="nil"/>
              <w:left w:val="nil"/>
              <w:bottom w:val="nil"/>
              <w:right w:val="nil"/>
            </w:tcBorders>
            <w:vAlign w:val="center"/>
            <w:hideMark/>
          </w:tcPr>
          <w:p w14:paraId="5AC81230" w14:textId="77777777" w:rsidR="00E15FC9" w:rsidRPr="00E15FC9" w:rsidRDefault="00E15FC9" w:rsidP="00E15FC9">
            <w:pPr>
              <w:rPr>
                <w:rFonts w:ascii="Times New Roman" w:eastAsia="Times New Roman" w:hAnsi="Times New Roman" w:cs="Times New Roman"/>
                <w:b/>
                <w:bCs/>
                <w:color w:val="FF0000"/>
                <w:u w:val="single"/>
                <w:lang w:eastAsia="en-GB"/>
              </w:rPr>
            </w:pPr>
          </w:p>
        </w:tc>
        <w:tc>
          <w:tcPr>
            <w:tcW w:w="960" w:type="dxa"/>
            <w:tcBorders>
              <w:top w:val="nil"/>
              <w:left w:val="nil"/>
              <w:bottom w:val="nil"/>
              <w:right w:val="nil"/>
            </w:tcBorders>
            <w:vAlign w:val="center"/>
            <w:hideMark/>
          </w:tcPr>
          <w:p w14:paraId="486EAD2E" w14:textId="77777777" w:rsidR="00E15FC9" w:rsidRPr="00E15FC9" w:rsidRDefault="00E15FC9" w:rsidP="00E15FC9">
            <w:pP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32.72</w:t>
            </w:r>
          </w:p>
        </w:tc>
      </w:tr>
      <w:tr w:rsidR="00E15FC9" w:rsidRPr="00E15FC9" w14:paraId="18A7BD87" w14:textId="77777777" w:rsidTr="00E15FC9">
        <w:trPr>
          <w:trHeight w:val="105"/>
        </w:trPr>
        <w:tc>
          <w:tcPr>
            <w:tcW w:w="6620" w:type="dxa"/>
            <w:tcBorders>
              <w:top w:val="nil"/>
              <w:left w:val="nil"/>
              <w:bottom w:val="nil"/>
              <w:right w:val="nil"/>
            </w:tcBorders>
            <w:vAlign w:val="center"/>
            <w:hideMark/>
          </w:tcPr>
          <w:p w14:paraId="05941FBF" w14:textId="77777777" w:rsidR="00E15FC9" w:rsidRPr="00E15FC9" w:rsidRDefault="00E15FC9" w:rsidP="00E15FC9">
            <w:pP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vAlign w:val="center"/>
            <w:hideMark/>
          </w:tcPr>
          <w:p w14:paraId="1E928EAC"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vAlign w:val="center"/>
            <w:hideMark/>
          </w:tcPr>
          <w:p w14:paraId="77781D5F"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560BAAE4"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4758FC9E" w14:textId="77777777" w:rsidTr="00E15FC9">
        <w:trPr>
          <w:trHeight w:val="270"/>
        </w:trPr>
        <w:tc>
          <w:tcPr>
            <w:tcW w:w="6620" w:type="dxa"/>
            <w:tcBorders>
              <w:top w:val="nil"/>
              <w:left w:val="nil"/>
              <w:bottom w:val="nil"/>
              <w:right w:val="nil"/>
            </w:tcBorders>
            <w:vAlign w:val="center"/>
            <w:hideMark/>
          </w:tcPr>
          <w:p w14:paraId="761EAF91" w14:textId="7136B5F1"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Funds as at 31</w:t>
            </w:r>
            <w:r w:rsidRPr="00E15FC9">
              <w:rPr>
                <w:rFonts w:ascii="Times New Roman" w:eastAsia="Times New Roman" w:hAnsi="Times New Roman" w:cs="Times New Roman"/>
                <w:b/>
                <w:bCs/>
                <w:color w:val="000000"/>
                <w:vertAlign w:val="superscript"/>
                <w:lang w:eastAsia="en-GB"/>
              </w:rPr>
              <w:t>st</w:t>
            </w:r>
            <w:r w:rsidRPr="00E15FC9">
              <w:rPr>
                <w:rFonts w:ascii="Times New Roman" w:eastAsia="Times New Roman" w:hAnsi="Times New Roman" w:cs="Times New Roman"/>
                <w:b/>
                <w:bCs/>
                <w:color w:val="000000"/>
                <w:lang w:eastAsia="en-GB"/>
              </w:rPr>
              <w:t xml:space="preserve"> December</w:t>
            </w:r>
            <w:r w:rsidR="00CE5DD4">
              <w:rPr>
                <w:rFonts w:ascii="Times New Roman" w:eastAsia="Times New Roman" w:hAnsi="Times New Roman" w:cs="Times New Roman"/>
                <w:b/>
                <w:bCs/>
                <w:color w:val="000000"/>
                <w:lang w:eastAsia="en-GB"/>
              </w:rPr>
              <w:t xml:space="preserve"> </w:t>
            </w:r>
          </w:p>
        </w:tc>
        <w:tc>
          <w:tcPr>
            <w:tcW w:w="960" w:type="dxa"/>
            <w:tcBorders>
              <w:top w:val="nil"/>
              <w:left w:val="nil"/>
              <w:bottom w:val="nil"/>
              <w:right w:val="nil"/>
            </w:tcBorders>
            <w:vAlign w:val="center"/>
            <w:hideMark/>
          </w:tcPr>
          <w:p w14:paraId="1242517A" w14:textId="77777777" w:rsidR="00E15FC9" w:rsidRPr="00E15FC9" w:rsidRDefault="00E15FC9" w:rsidP="00E15FC9">
            <w:pPr>
              <w:jc w:val="left"/>
              <w:rPr>
                <w:rFonts w:ascii="Times New Roman" w:eastAsia="Times New Roman" w:hAnsi="Times New Roman" w:cs="Times New Roman"/>
                <w:b/>
                <w:bCs/>
                <w:color w:val="000000"/>
                <w:lang w:eastAsia="en-GB"/>
              </w:rPr>
            </w:pPr>
          </w:p>
        </w:tc>
        <w:tc>
          <w:tcPr>
            <w:tcW w:w="580" w:type="dxa"/>
            <w:tcBorders>
              <w:top w:val="nil"/>
              <w:left w:val="nil"/>
              <w:bottom w:val="nil"/>
              <w:right w:val="nil"/>
            </w:tcBorders>
            <w:vAlign w:val="center"/>
            <w:hideMark/>
          </w:tcPr>
          <w:p w14:paraId="153C7C48" w14:textId="77777777" w:rsidR="00E15FC9" w:rsidRPr="00E15FC9" w:rsidRDefault="00E15FC9" w:rsidP="00E15FC9">
            <w:pPr>
              <w:rPr>
                <w:rFonts w:ascii="Times New Roman" w:eastAsia="Times New Roman" w:hAnsi="Times New Roman" w:cs="Times New Roman"/>
                <w:sz w:val="20"/>
                <w:szCs w:val="20"/>
                <w:lang w:eastAsia="en-GB"/>
              </w:rPr>
            </w:pPr>
          </w:p>
        </w:tc>
        <w:tc>
          <w:tcPr>
            <w:tcW w:w="960" w:type="dxa"/>
            <w:tcBorders>
              <w:top w:val="nil"/>
              <w:left w:val="nil"/>
              <w:bottom w:val="nil"/>
              <w:right w:val="nil"/>
            </w:tcBorders>
            <w:vAlign w:val="center"/>
            <w:hideMark/>
          </w:tcPr>
          <w:p w14:paraId="4C788A28" w14:textId="77777777" w:rsidR="00E15FC9" w:rsidRPr="00E15FC9" w:rsidRDefault="00E15FC9" w:rsidP="00E15FC9">
            <w:pPr>
              <w:rPr>
                <w:rFonts w:ascii="Times New Roman" w:eastAsia="Times New Roman" w:hAnsi="Times New Roman" w:cs="Times New Roman"/>
                <w:sz w:val="20"/>
                <w:szCs w:val="20"/>
                <w:lang w:eastAsia="en-GB"/>
              </w:rPr>
            </w:pPr>
          </w:p>
        </w:tc>
      </w:tr>
      <w:tr w:rsidR="00E15FC9" w:rsidRPr="00E15FC9" w14:paraId="0A275A3A" w14:textId="77777777" w:rsidTr="00E15FC9">
        <w:trPr>
          <w:trHeight w:val="300"/>
        </w:trPr>
        <w:tc>
          <w:tcPr>
            <w:tcW w:w="6620" w:type="dxa"/>
            <w:tcBorders>
              <w:top w:val="nil"/>
              <w:left w:val="nil"/>
              <w:bottom w:val="nil"/>
              <w:right w:val="nil"/>
            </w:tcBorders>
            <w:vAlign w:val="center"/>
            <w:hideMark/>
          </w:tcPr>
          <w:p w14:paraId="3BE01C4E" w14:textId="77777777"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Lloyds Bank account</w:t>
            </w:r>
          </w:p>
        </w:tc>
        <w:tc>
          <w:tcPr>
            <w:tcW w:w="960" w:type="dxa"/>
            <w:tcBorders>
              <w:top w:val="nil"/>
              <w:left w:val="nil"/>
              <w:bottom w:val="nil"/>
              <w:right w:val="nil"/>
            </w:tcBorders>
            <w:vAlign w:val="center"/>
            <w:hideMark/>
          </w:tcPr>
          <w:p w14:paraId="1FAAAD30"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695.21</w:t>
            </w:r>
          </w:p>
        </w:tc>
        <w:tc>
          <w:tcPr>
            <w:tcW w:w="580" w:type="dxa"/>
            <w:tcBorders>
              <w:top w:val="nil"/>
              <w:left w:val="nil"/>
              <w:bottom w:val="nil"/>
              <w:right w:val="nil"/>
            </w:tcBorders>
            <w:vAlign w:val="center"/>
            <w:hideMark/>
          </w:tcPr>
          <w:p w14:paraId="71C2BD89"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nil"/>
              <w:left w:val="nil"/>
              <w:bottom w:val="nil"/>
              <w:right w:val="nil"/>
            </w:tcBorders>
            <w:vAlign w:val="center"/>
            <w:hideMark/>
          </w:tcPr>
          <w:p w14:paraId="56EE2C53"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607.09</w:t>
            </w:r>
          </w:p>
        </w:tc>
      </w:tr>
      <w:tr w:rsidR="00E15FC9" w:rsidRPr="00E15FC9" w14:paraId="079CD9E5" w14:textId="77777777" w:rsidTr="00E15FC9">
        <w:trPr>
          <w:trHeight w:val="315"/>
        </w:trPr>
        <w:tc>
          <w:tcPr>
            <w:tcW w:w="6620" w:type="dxa"/>
            <w:tcBorders>
              <w:top w:val="nil"/>
              <w:left w:val="nil"/>
              <w:bottom w:val="nil"/>
              <w:right w:val="nil"/>
            </w:tcBorders>
            <w:vAlign w:val="center"/>
            <w:hideMark/>
          </w:tcPr>
          <w:p w14:paraId="22BD1008" w14:textId="77777777" w:rsidR="00E15FC9" w:rsidRPr="00E15FC9" w:rsidRDefault="00E15FC9" w:rsidP="00E15FC9">
            <w:pPr>
              <w:jc w:val="left"/>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 xml:space="preserve">Cash in Hand </w:t>
            </w:r>
          </w:p>
        </w:tc>
        <w:tc>
          <w:tcPr>
            <w:tcW w:w="960" w:type="dxa"/>
            <w:tcBorders>
              <w:top w:val="nil"/>
              <w:left w:val="nil"/>
              <w:bottom w:val="nil"/>
              <w:right w:val="nil"/>
            </w:tcBorders>
            <w:vAlign w:val="center"/>
            <w:hideMark/>
          </w:tcPr>
          <w:p w14:paraId="4A1CB5C8" w14:textId="77777777" w:rsidR="00E15FC9" w:rsidRPr="00E15FC9" w:rsidRDefault="00E15FC9" w:rsidP="00E15FC9">
            <w:pPr>
              <w:jc w:val="cente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w:t>
            </w:r>
          </w:p>
        </w:tc>
        <w:tc>
          <w:tcPr>
            <w:tcW w:w="580" w:type="dxa"/>
            <w:tcBorders>
              <w:top w:val="nil"/>
              <w:left w:val="nil"/>
              <w:bottom w:val="single" w:sz="4" w:space="0" w:color="auto"/>
              <w:right w:val="nil"/>
            </w:tcBorders>
            <w:vAlign w:val="center"/>
            <w:hideMark/>
          </w:tcPr>
          <w:p w14:paraId="4A76A04F"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 </w:t>
            </w:r>
          </w:p>
        </w:tc>
        <w:tc>
          <w:tcPr>
            <w:tcW w:w="960" w:type="dxa"/>
            <w:tcBorders>
              <w:top w:val="nil"/>
              <w:left w:val="nil"/>
              <w:bottom w:val="single" w:sz="4" w:space="0" w:color="auto"/>
              <w:right w:val="nil"/>
            </w:tcBorders>
            <w:vAlign w:val="center"/>
            <w:hideMark/>
          </w:tcPr>
          <w:p w14:paraId="43F0CAB2" w14:textId="77777777" w:rsidR="00E15FC9" w:rsidRPr="00E15FC9" w:rsidRDefault="00E15FC9" w:rsidP="00E15FC9">
            <w:pPr>
              <w:rPr>
                <w:rFonts w:ascii="Times New Roman" w:eastAsia="Times New Roman" w:hAnsi="Times New Roman" w:cs="Times New Roman"/>
                <w:color w:val="000000"/>
                <w:lang w:eastAsia="en-GB"/>
              </w:rPr>
            </w:pPr>
            <w:r w:rsidRPr="00E15FC9">
              <w:rPr>
                <w:rFonts w:ascii="Times New Roman" w:eastAsia="Times New Roman" w:hAnsi="Times New Roman" w:cs="Times New Roman"/>
                <w:color w:val="000000"/>
                <w:lang w:eastAsia="en-GB"/>
              </w:rPr>
              <w:t>91.06</w:t>
            </w:r>
          </w:p>
        </w:tc>
      </w:tr>
      <w:tr w:rsidR="00E15FC9" w:rsidRPr="00E15FC9" w14:paraId="4726F9AD" w14:textId="77777777" w:rsidTr="00E15FC9">
        <w:trPr>
          <w:trHeight w:val="300"/>
        </w:trPr>
        <w:tc>
          <w:tcPr>
            <w:tcW w:w="6620" w:type="dxa"/>
            <w:tcBorders>
              <w:top w:val="nil"/>
              <w:left w:val="nil"/>
              <w:bottom w:val="nil"/>
              <w:right w:val="nil"/>
            </w:tcBorders>
            <w:vAlign w:val="center"/>
            <w:hideMark/>
          </w:tcPr>
          <w:p w14:paraId="275FE7C1" w14:textId="77777777" w:rsidR="00E15FC9" w:rsidRPr="00E15FC9" w:rsidRDefault="00E15FC9" w:rsidP="00E15FC9">
            <w:pPr>
              <w:rPr>
                <w:rFonts w:ascii="Times New Roman" w:eastAsia="Times New Roman" w:hAnsi="Times New Roman" w:cs="Times New Roman"/>
                <w:color w:val="000000"/>
                <w:lang w:eastAsia="en-GB"/>
              </w:rPr>
            </w:pPr>
          </w:p>
        </w:tc>
        <w:tc>
          <w:tcPr>
            <w:tcW w:w="960" w:type="dxa"/>
            <w:tcBorders>
              <w:top w:val="single" w:sz="8" w:space="0" w:color="auto"/>
              <w:left w:val="nil"/>
              <w:bottom w:val="nil"/>
              <w:right w:val="nil"/>
            </w:tcBorders>
            <w:vAlign w:val="center"/>
            <w:hideMark/>
          </w:tcPr>
          <w:p w14:paraId="254AAE7B" w14:textId="77777777" w:rsidR="00E15FC9" w:rsidRPr="00E15FC9" w:rsidRDefault="00E15FC9" w:rsidP="00E15FC9">
            <w:pP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695.21</w:t>
            </w:r>
          </w:p>
        </w:tc>
        <w:tc>
          <w:tcPr>
            <w:tcW w:w="580" w:type="dxa"/>
            <w:tcBorders>
              <w:top w:val="nil"/>
              <w:left w:val="nil"/>
              <w:bottom w:val="nil"/>
              <w:right w:val="nil"/>
            </w:tcBorders>
            <w:vAlign w:val="center"/>
            <w:hideMark/>
          </w:tcPr>
          <w:p w14:paraId="3D147695" w14:textId="77777777" w:rsidR="00E15FC9" w:rsidRPr="00E15FC9" w:rsidRDefault="00E15FC9" w:rsidP="00E15FC9">
            <w:pP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vAlign w:val="center"/>
            <w:hideMark/>
          </w:tcPr>
          <w:p w14:paraId="5515FA0F" w14:textId="77777777" w:rsidR="00E15FC9" w:rsidRPr="00E15FC9" w:rsidRDefault="00E15FC9" w:rsidP="00E15FC9">
            <w:pPr>
              <w:rPr>
                <w:rFonts w:ascii="Times New Roman" w:eastAsia="Times New Roman" w:hAnsi="Times New Roman" w:cs="Times New Roman"/>
                <w:b/>
                <w:bCs/>
                <w:color w:val="000000"/>
                <w:u w:val="single"/>
                <w:lang w:eastAsia="en-GB"/>
              </w:rPr>
            </w:pPr>
            <w:r w:rsidRPr="00E15FC9">
              <w:rPr>
                <w:rFonts w:ascii="Times New Roman" w:eastAsia="Times New Roman" w:hAnsi="Times New Roman" w:cs="Times New Roman"/>
                <w:b/>
                <w:bCs/>
                <w:color w:val="000000"/>
                <w:u w:val="single"/>
                <w:lang w:eastAsia="en-GB"/>
              </w:rPr>
              <w:t>698.15</w:t>
            </w:r>
          </w:p>
        </w:tc>
      </w:tr>
      <w:tr w:rsidR="00E15FC9" w:rsidRPr="00E15FC9" w14:paraId="542C4E8D" w14:textId="77777777" w:rsidTr="00E15FC9">
        <w:trPr>
          <w:trHeight w:val="135"/>
        </w:trPr>
        <w:tc>
          <w:tcPr>
            <w:tcW w:w="6620" w:type="dxa"/>
            <w:tcBorders>
              <w:top w:val="nil"/>
              <w:left w:val="nil"/>
              <w:bottom w:val="nil"/>
              <w:right w:val="nil"/>
            </w:tcBorders>
            <w:noWrap/>
            <w:vAlign w:val="bottom"/>
            <w:hideMark/>
          </w:tcPr>
          <w:p w14:paraId="3D452EB9" w14:textId="77777777" w:rsidR="00E15FC9" w:rsidRPr="00E15FC9" w:rsidRDefault="00E15FC9" w:rsidP="00E15FC9">
            <w:pPr>
              <w:rPr>
                <w:rFonts w:ascii="Times New Roman" w:eastAsia="Times New Roman" w:hAnsi="Times New Roman" w:cs="Times New Roman"/>
                <w:b/>
                <w:bCs/>
                <w:color w:val="000000"/>
                <w:u w:val="single"/>
                <w:lang w:eastAsia="en-GB"/>
              </w:rPr>
            </w:pPr>
          </w:p>
        </w:tc>
        <w:tc>
          <w:tcPr>
            <w:tcW w:w="960" w:type="dxa"/>
            <w:tcBorders>
              <w:top w:val="nil"/>
              <w:left w:val="nil"/>
              <w:bottom w:val="nil"/>
              <w:right w:val="nil"/>
            </w:tcBorders>
            <w:noWrap/>
            <w:vAlign w:val="bottom"/>
            <w:hideMark/>
          </w:tcPr>
          <w:p w14:paraId="221E56FC"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580" w:type="dxa"/>
            <w:tcBorders>
              <w:top w:val="nil"/>
              <w:left w:val="nil"/>
              <w:bottom w:val="nil"/>
              <w:right w:val="nil"/>
            </w:tcBorders>
            <w:noWrap/>
            <w:vAlign w:val="bottom"/>
            <w:hideMark/>
          </w:tcPr>
          <w:p w14:paraId="00FBCAFB" w14:textId="77777777" w:rsidR="00E15FC9" w:rsidRPr="00E15FC9" w:rsidRDefault="00E15FC9" w:rsidP="00E15FC9">
            <w:pPr>
              <w:jc w:val="left"/>
              <w:rPr>
                <w:rFonts w:ascii="Times New Roman" w:eastAsia="Times New Roman" w:hAnsi="Times New Roman" w:cs="Times New Roman"/>
                <w:sz w:val="20"/>
                <w:szCs w:val="20"/>
                <w:lang w:eastAsia="en-GB"/>
              </w:rPr>
            </w:pPr>
          </w:p>
        </w:tc>
        <w:tc>
          <w:tcPr>
            <w:tcW w:w="960" w:type="dxa"/>
            <w:tcBorders>
              <w:top w:val="nil"/>
              <w:left w:val="nil"/>
              <w:bottom w:val="nil"/>
              <w:right w:val="nil"/>
            </w:tcBorders>
            <w:noWrap/>
            <w:vAlign w:val="bottom"/>
            <w:hideMark/>
          </w:tcPr>
          <w:p w14:paraId="56A6B2F5" w14:textId="77777777" w:rsidR="00E15FC9" w:rsidRPr="00E15FC9" w:rsidRDefault="00E15FC9" w:rsidP="00E15FC9">
            <w:pPr>
              <w:jc w:val="left"/>
              <w:rPr>
                <w:rFonts w:ascii="Times New Roman" w:eastAsia="Times New Roman" w:hAnsi="Times New Roman" w:cs="Times New Roman"/>
                <w:sz w:val="20"/>
                <w:szCs w:val="20"/>
                <w:lang w:eastAsia="en-GB"/>
              </w:rPr>
            </w:pPr>
          </w:p>
        </w:tc>
      </w:tr>
      <w:tr w:rsidR="00E15FC9" w:rsidRPr="00E15FC9" w14:paraId="72F6721C" w14:textId="77777777" w:rsidTr="00E15FC9">
        <w:trPr>
          <w:trHeight w:val="552"/>
        </w:trPr>
        <w:tc>
          <w:tcPr>
            <w:tcW w:w="6620" w:type="dxa"/>
            <w:tcBorders>
              <w:top w:val="nil"/>
              <w:left w:val="nil"/>
              <w:bottom w:val="nil"/>
              <w:right w:val="nil"/>
            </w:tcBorders>
            <w:vAlign w:val="center"/>
            <w:hideMark/>
          </w:tcPr>
          <w:p w14:paraId="42CE4B98" w14:textId="77777777" w:rsidR="00E15FC9" w:rsidRPr="00E15FC9" w:rsidRDefault="00E15FC9" w:rsidP="00E15FC9">
            <w:pPr>
              <w:jc w:val="left"/>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2025 Accounts inspected by Rosemary O'Leary</w:t>
            </w:r>
          </w:p>
        </w:tc>
        <w:tc>
          <w:tcPr>
            <w:tcW w:w="1540" w:type="dxa"/>
            <w:gridSpan w:val="2"/>
            <w:tcBorders>
              <w:top w:val="nil"/>
              <w:left w:val="nil"/>
              <w:bottom w:val="nil"/>
              <w:right w:val="nil"/>
            </w:tcBorders>
            <w:vAlign w:val="center"/>
            <w:hideMark/>
          </w:tcPr>
          <w:p w14:paraId="7F36CDEC" w14:textId="77777777" w:rsidR="00E15FC9" w:rsidRPr="00E15FC9" w:rsidRDefault="00E15FC9" w:rsidP="00E15FC9">
            <w:pPr>
              <w:jc w:val="center"/>
              <w:rPr>
                <w:rFonts w:ascii="Times New Roman" w:eastAsia="Times New Roman" w:hAnsi="Times New Roman" w:cs="Times New Roman"/>
                <w:b/>
                <w:bCs/>
                <w:color w:val="000000"/>
                <w:lang w:eastAsia="en-GB"/>
              </w:rPr>
            </w:pPr>
            <w:r w:rsidRPr="00E15FC9">
              <w:rPr>
                <w:rFonts w:ascii="Times New Roman" w:eastAsia="Times New Roman" w:hAnsi="Times New Roman" w:cs="Times New Roman"/>
                <w:b/>
                <w:bCs/>
                <w:color w:val="000000"/>
                <w:lang w:eastAsia="en-GB"/>
              </w:rPr>
              <w:t>Brian Oswald (Treasurer)</w:t>
            </w:r>
          </w:p>
        </w:tc>
        <w:tc>
          <w:tcPr>
            <w:tcW w:w="960" w:type="dxa"/>
            <w:tcBorders>
              <w:top w:val="nil"/>
              <w:left w:val="nil"/>
              <w:bottom w:val="nil"/>
              <w:right w:val="nil"/>
            </w:tcBorders>
            <w:noWrap/>
            <w:vAlign w:val="bottom"/>
            <w:hideMark/>
          </w:tcPr>
          <w:p w14:paraId="7486D06A" w14:textId="77777777" w:rsidR="00E15FC9" w:rsidRPr="00E15FC9" w:rsidRDefault="00E15FC9" w:rsidP="00E15FC9">
            <w:pPr>
              <w:jc w:val="center"/>
              <w:rPr>
                <w:rFonts w:ascii="Times New Roman" w:eastAsia="Times New Roman" w:hAnsi="Times New Roman" w:cs="Times New Roman"/>
                <w:b/>
                <w:bCs/>
                <w:color w:val="000000"/>
                <w:lang w:eastAsia="en-GB"/>
              </w:rPr>
            </w:pPr>
          </w:p>
        </w:tc>
      </w:tr>
    </w:tbl>
    <w:p w14:paraId="6842FD0C" w14:textId="777F1F7E" w:rsidR="00D2429E" w:rsidRDefault="00D2429E">
      <w:pPr>
        <w:rPr>
          <w:rFonts w:cstheme="minorHAnsi"/>
        </w:rPr>
      </w:pPr>
    </w:p>
    <w:sectPr w:rsidR="00D2429E" w:rsidSect="0069115A">
      <w:footerReference w:type="default" r:id="rId10"/>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3374" w14:textId="77777777" w:rsidR="00D043C1" w:rsidRDefault="00D043C1" w:rsidP="00F07380">
      <w:r>
        <w:separator/>
      </w:r>
    </w:p>
  </w:endnote>
  <w:endnote w:type="continuationSeparator" w:id="0">
    <w:p w14:paraId="7259D312" w14:textId="77777777" w:rsidR="00D043C1" w:rsidRDefault="00D043C1" w:rsidP="00F0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602982"/>
      <w:docPartObj>
        <w:docPartGallery w:val="Page Numbers (Bottom of Page)"/>
        <w:docPartUnique/>
      </w:docPartObj>
    </w:sdtPr>
    <w:sdtEndPr>
      <w:rPr>
        <w:noProof/>
      </w:rPr>
    </w:sdtEndPr>
    <w:sdtContent>
      <w:p w14:paraId="4167237A" w14:textId="21835A8C" w:rsidR="00F07380" w:rsidRDefault="00F07380">
        <w:pPr>
          <w:pStyle w:val="Footer"/>
        </w:pPr>
        <w:r>
          <w:fldChar w:fldCharType="begin"/>
        </w:r>
        <w:r>
          <w:instrText xml:space="preserve"> PAGE   \* MERGEFORMAT </w:instrText>
        </w:r>
        <w:r>
          <w:fldChar w:fldCharType="separate"/>
        </w:r>
        <w:r>
          <w:rPr>
            <w:noProof/>
          </w:rPr>
          <w:t>2</w:t>
        </w:r>
        <w:r>
          <w:rPr>
            <w:noProof/>
          </w:rPr>
          <w:fldChar w:fldCharType="end"/>
        </w:r>
      </w:p>
    </w:sdtContent>
  </w:sdt>
  <w:p w14:paraId="6C20475A" w14:textId="77777777" w:rsidR="00F07380" w:rsidRDefault="00F07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89C1" w14:textId="77777777" w:rsidR="00D043C1" w:rsidRDefault="00D043C1" w:rsidP="00F07380">
      <w:r>
        <w:separator/>
      </w:r>
    </w:p>
  </w:footnote>
  <w:footnote w:type="continuationSeparator" w:id="0">
    <w:p w14:paraId="44E62B0E" w14:textId="77777777" w:rsidR="00D043C1" w:rsidRDefault="00D043C1" w:rsidP="00F07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8B1"/>
    <w:multiLevelType w:val="hybridMultilevel"/>
    <w:tmpl w:val="F03E3100"/>
    <w:lvl w:ilvl="0" w:tplc="33AA7752">
      <w:start w:val="1"/>
      <w:numFmt w:val="bullet"/>
      <w:lvlText w:val="•"/>
      <w:lvlJc w:val="left"/>
      <w:pPr>
        <w:tabs>
          <w:tab w:val="num" w:pos="720"/>
        </w:tabs>
        <w:ind w:left="720" w:hanging="360"/>
      </w:pPr>
      <w:rPr>
        <w:rFonts w:ascii="Arial" w:hAnsi="Arial" w:hint="default"/>
      </w:rPr>
    </w:lvl>
    <w:lvl w:ilvl="1" w:tplc="247046A8" w:tentative="1">
      <w:start w:val="1"/>
      <w:numFmt w:val="bullet"/>
      <w:lvlText w:val="•"/>
      <w:lvlJc w:val="left"/>
      <w:pPr>
        <w:tabs>
          <w:tab w:val="num" w:pos="1440"/>
        </w:tabs>
        <w:ind w:left="1440" w:hanging="360"/>
      </w:pPr>
      <w:rPr>
        <w:rFonts w:ascii="Arial" w:hAnsi="Arial" w:hint="default"/>
      </w:rPr>
    </w:lvl>
    <w:lvl w:ilvl="2" w:tplc="1DCC6E62" w:tentative="1">
      <w:start w:val="1"/>
      <w:numFmt w:val="bullet"/>
      <w:lvlText w:val="•"/>
      <w:lvlJc w:val="left"/>
      <w:pPr>
        <w:tabs>
          <w:tab w:val="num" w:pos="2160"/>
        </w:tabs>
        <w:ind w:left="2160" w:hanging="360"/>
      </w:pPr>
      <w:rPr>
        <w:rFonts w:ascii="Arial" w:hAnsi="Arial" w:hint="default"/>
      </w:rPr>
    </w:lvl>
    <w:lvl w:ilvl="3" w:tplc="3CB67D14" w:tentative="1">
      <w:start w:val="1"/>
      <w:numFmt w:val="bullet"/>
      <w:lvlText w:val="•"/>
      <w:lvlJc w:val="left"/>
      <w:pPr>
        <w:tabs>
          <w:tab w:val="num" w:pos="2880"/>
        </w:tabs>
        <w:ind w:left="2880" w:hanging="360"/>
      </w:pPr>
      <w:rPr>
        <w:rFonts w:ascii="Arial" w:hAnsi="Arial" w:hint="default"/>
      </w:rPr>
    </w:lvl>
    <w:lvl w:ilvl="4" w:tplc="EA4C1DC6" w:tentative="1">
      <w:start w:val="1"/>
      <w:numFmt w:val="bullet"/>
      <w:lvlText w:val="•"/>
      <w:lvlJc w:val="left"/>
      <w:pPr>
        <w:tabs>
          <w:tab w:val="num" w:pos="3600"/>
        </w:tabs>
        <w:ind w:left="3600" w:hanging="360"/>
      </w:pPr>
      <w:rPr>
        <w:rFonts w:ascii="Arial" w:hAnsi="Arial" w:hint="default"/>
      </w:rPr>
    </w:lvl>
    <w:lvl w:ilvl="5" w:tplc="A3AEFA98" w:tentative="1">
      <w:start w:val="1"/>
      <w:numFmt w:val="bullet"/>
      <w:lvlText w:val="•"/>
      <w:lvlJc w:val="left"/>
      <w:pPr>
        <w:tabs>
          <w:tab w:val="num" w:pos="4320"/>
        </w:tabs>
        <w:ind w:left="4320" w:hanging="360"/>
      </w:pPr>
      <w:rPr>
        <w:rFonts w:ascii="Arial" w:hAnsi="Arial" w:hint="default"/>
      </w:rPr>
    </w:lvl>
    <w:lvl w:ilvl="6" w:tplc="29143C1E" w:tentative="1">
      <w:start w:val="1"/>
      <w:numFmt w:val="bullet"/>
      <w:lvlText w:val="•"/>
      <w:lvlJc w:val="left"/>
      <w:pPr>
        <w:tabs>
          <w:tab w:val="num" w:pos="5040"/>
        </w:tabs>
        <w:ind w:left="5040" w:hanging="360"/>
      </w:pPr>
      <w:rPr>
        <w:rFonts w:ascii="Arial" w:hAnsi="Arial" w:hint="default"/>
      </w:rPr>
    </w:lvl>
    <w:lvl w:ilvl="7" w:tplc="D8BC2DFA" w:tentative="1">
      <w:start w:val="1"/>
      <w:numFmt w:val="bullet"/>
      <w:lvlText w:val="•"/>
      <w:lvlJc w:val="left"/>
      <w:pPr>
        <w:tabs>
          <w:tab w:val="num" w:pos="5760"/>
        </w:tabs>
        <w:ind w:left="5760" w:hanging="360"/>
      </w:pPr>
      <w:rPr>
        <w:rFonts w:ascii="Arial" w:hAnsi="Arial" w:hint="default"/>
      </w:rPr>
    </w:lvl>
    <w:lvl w:ilvl="8" w:tplc="13C237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6D14CE"/>
    <w:multiLevelType w:val="multilevel"/>
    <w:tmpl w:val="8FD0B7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30777E66"/>
    <w:multiLevelType w:val="hybridMultilevel"/>
    <w:tmpl w:val="93B4D0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E02762"/>
    <w:multiLevelType w:val="hybridMultilevel"/>
    <w:tmpl w:val="12627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383CBE"/>
    <w:multiLevelType w:val="hybridMultilevel"/>
    <w:tmpl w:val="146A9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2214DA"/>
    <w:multiLevelType w:val="hybridMultilevel"/>
    <w:tmpl w:val="648001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481A12"/>
    <w:multiLevelType w:val="multilevel"/>
    <w:tmpl w:val="AE44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42F8E"/>
    <w:multiLevelType w:val="hybridMultilevel"/>
    <w:tmpl w:val="1764D68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D8485A"/>
    <w:multiLevelType w:val="hybridMultilevel"/>
    <w:tmpl w:val="E7C05274"/>
    <w:lvl w:ilvl="0" w:tplc="08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88221449">
    <w:abstractNumId w:val="3"/>
  </w:num>
  <w:num w:numId="2" w16cid:durableId="849297449">
    <w:abstractNumId w:val="2"/>
  </w:num>
  <w:num w:numId="3" w16cid:durableId="183596042">
    <w:abstractNumId w:val="1"/>
  </w:num>
  <w:num w:numId="4" w16cid:durableId="246111127">
    <w:abstractNumId w:val="6"/>
  </w:num>
  <w:num w:numId="5" w16cid:durableId="720521218">
    <w:abstractNumId w:val="4"/>
  </w:num>
  <w:num w:numId="6" w16cid:durableId="1318456730">
    <w:abstractNumId w:val="7"/>
  </w:num>
  <w:num w:numId="7" w16cid:durableId="1044523024">
    <w:abstractNumId w:val="5"/>
  </w:num>
  <w:num w:numId="8" w16cid:durableId="2052609265">
    <w:abstractNumId w:val="8"/>
  </w:num>
  <w:num w:numId="9" w16cid:durableId="146010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2B"/>
    <w:rsid w:val="00000828"/>
    <w:rsid w:val="00003484"/>
    <w:rsid w:val="000051F0"/>
    <w:rsid w:val="000063F7"/>
    <w:rsid w:val="00006C71"/>
    <w:rsid w:val="00010715"/>
    <w:rsid w:val="00012718"/>
    <w:rsid w:val="00013CFA"/>
    <w:rsid w:val="00014AD9"/>
    <w:rsid w:val="000201C8"/>
    <w:rsid w:val="000215A1"/>
    <w:rsid w:val="00026555"/>
    <w:rsid w:val="00027593"/>
    <w:rsid w:val="000331C8"/>
    <w:rsid w:val="00033231"/>
    <w:rsid w:val="0003472C"/>
    <w:rsid w:val="00035BAE"/>
    <w:rsid w:val="00043B8B"/>
    <w:rsid w:val="000447FD"/>
    <w:rsid w:val="00045168"/>
    <w:rsid w:val="00051653"/>
    <w:rsid w:val="000523BD"/>
    <w:rsid w:val="000527F6"/>
    <w:rsid w:val="00054580"/>
    <w:rsid w:val="00055247"/>
    <w:rsid w:val="00056107"/>
    <w:rsid w:val="00057426"/>
    <w:rsid w:val="00060581"/>
    <w:rsid w:val="00060635"/>
    <w:rsid w:val="000666D3"/>
    <w:rsid w:val="000678AF"/>
    <w:rsid w:val="00071D50"/>
    <w:rsid w:val="000721D7"/>
    <w:rsid w:val="00072717"/>
    <w:rsid w:val="00073091"/>
    <w:rsid w:val="00075013"/>
    <w:rsid w:val="000754A5"/>
    <w:rsid w:val="00076DF6"/>
    <w:rsid w:val="00077CE9"/>
    <w:rsid w:val="000805B2"/>
    <w:rsid w:val="00083109"/>
    <w:rsid w:val="00083A1F"/>
    <w:rsid w:val="000846A2"/>
    <w:rsid w:val="00085BED"/>
    <w:rsid w:val="00086B24"/>
    <w:rsid w:val="00090120"/>
    <w:rsid w:val="000904E7"/>
    <w:rsid w:val="00091299"/>
    <w:rsid w:val="000913E8"/>
    <w:rsid w:val="00091B4A"/>
    <w:rsid w:val="00094340"/>
    <w:rsid w:val="00097AE6"/>
    <w:rsid w:val="000A1D9C"/>
    <w:rsid w:val="000A5058"/>
    <w:rsid w:val="000A63F8"/>
    <w:rsid w:val="000C3FD6"/>
    <w:rsid w:val="000C67A0"/>
    <w:rsid w:val="000C6F5E"/>
    <w:rsid w:val="000E27F2"/>
    <w:rsid w:val="000E2F8C"/>
    <w:rsid w:val="000E4E52"/>
    <w:rsid w:val="000E5CF6"/>
    <w:rsid w:val="000E6D43"/>
    <w:rsid w:val="000F5590"/>
    <w:rsid w:val="001024A5"/>
    <w:rsid w:val="001045F9"/>
    <w:rsid w:val="00105962"/>
    <w:rsid w:val="001063F8"/>
    <w:rsid w:val="00106606"/>
    <w:rsid w:val="001075E3"/>
    <w:rsid w:val="00110DE9"/>
    <w:rsid w:val="0012151A"/>
    <w:rsid w:val="00123EDD"/>
    <w:rsid w:val="00125C58"/>
    <w:rsid w:val="00127D4A"/>
    <w:rsid w:val="00131245"/>
    <w:rsid w:val="00131BA9"/>
    <w:rsid w:val="0013619A"/>
    <w:rsid w:val="00140D66"/>
    <w:rsid w:val="0014115E"/>
    <w:rsid w:val="001411E6"/>
    <w:rsid w:val="001425C8"/>
    <w:rsid w:val="001431BE"/>
    <w:rsid w:val="00144177"/>
    <w:rsid w:val="00145746"/>
    <w:rsid w:val="00152F1C"/>
    <w:rsid w:val="0015589F"/>
    <w:rsid w:val="00156A75"/>
    <w:rsid w:val="001573D1"/>
    <w:rsid w:val="00162A51"/>
    <w:rsid w:val="0016567D"/>
    <w:rsid w:val="001656BA"/>
    <w:rsid w:val="00167A95"/>
    <w:rsid w:val="001702CE"/>
    <w:rsid w:val="00171B12"/>
    <w:rsid w:val="00172B02"/>
    <w:rsid w:val="00173EF4"/>
    <w:rsid w:val="00174A50"/>
    <w:rsid w:val="001752B0"/>
    <w:rsid w:val="00180F36"/>
    <w:rsid w:val="0018265B"/>
    <w:rsid w:val="00185EBC"/>
    <w:rsid w:val="00186F67"/>
    <w:rsid w:val="00190F5D"/>
    <w:rsid w:val="00193683"/>
    <w:rsid w:val="001941D5"/>
    <w:rsid w:val="001A0CC3"/>
    <w:rsid w:val="001A2FD8"/>
    <w:rsid w:val="001A42FA"/>
    <w:rsid w:val="001A4511"/>
    <w:rsid w:val="001A5D59"/>
    <w:rsid w:val="001A6F49"/>
    <w:rsid w:val="001B56AC"/>
    <w:rsid w:val="001B6121"/>
    <w:rsid w:val="001C10EA"/>
    <w:rsid w:val="001C6F82"/>
    <w:rsid w:val="001D2446"/>
    <w:rsid w:val="001D5A66"/>
    <w:rsid w:val="001D6209"/>
    <w:rsid w:val="001D7944"/>
    <w:rsid w:val="001E0C39"/>
    <w:rsid w:val="001E383B"/>
    <w:rsid w:val="001E5DA9"/>
    <w:rsid w:val="001E604B"/>
    <w:rsid w:val="001F0AF5"/>
    <w:rsid w:val="001F7BDB"/>
    <w:rsid w:val="00203149"/>
    <w:rsid w:val="0020355A"/>
    <w:rsid w:val="002036E2"/>
    <w:rsid w:val="0021092E"/>
    <w:rsid w:val="002126BC"/>
    <w:rsid w:val="00212E91"/>
    <w:rsid w:val="00216FD7"/>
    <w:rsid w:val="002209B4"/>
    <w:rsid w:val="00226D27"/>
    <w:rsid w:val="00235EC4"/>
    <w:rsid w:val="0024011B"/>
    <w:rsid w:val="00247E62"/>
    <w:rsid w:val="00256747"/>
    <w:rsid w:val="002627E6"/>
    <w:rsid w:val="00275397"/>
    <w:rsid w:val="00275D50"/>
    <w:rsid w:val="00283BA6"/>
    <w:rsid w:val="00286750"/>
    <w:rsid w:val="00293A53"/>
    <w:rsid w:val="002A35C3"/>
    <w:rsid w:val="002A4F22"/>
    <w:rsid w:val="002B10CF"/>
    <w:rsid w:val="002B37C5"/>
    <w:rsid w:val="002B6C0E"/>
    <w:rsid w:val="002C355F"/>
    <w:rsid w:val="002C3D1E"/>
    <w:rsid w:val="002E1A43"/>
    <w:rsid w:val="002E54E0"/>
    <w:rsid w:val="002E5725"/>
    <w:rsid w:val="002E64E0"/>
    <w:rsid w:val="002E7D88"/>
    <w:rsid w:val="002F008A"/>
    <w:rsid w:val="002F112E"/>
    <w:rsid w:val="002F149B"/>
    <w:rsid w:val="002F473F"/>
    <w:rsid w:val="002F5B1D"/>
    <w:rsid w:val="002F7211"/>
    <w:rsid w:val="00301B81"/>
    <w:rsid w:val="00302E91"/>
    <w:rsid w:val="00303FD9"/>
    <w:rsid w:val="00310C34"/>
    <w:rsid w:val="003112CE"/>
    <w:rsid w:val="0032044B"/>
    <w:rsid w:val="00323B83"/>
    <w:rsid w:val="003271C3"/>
    <w:rsid w:val="0032758D"/>
    <w:rsid w:val="00340438"/>
    <w:rsid w:val="003435C5"/>
    <w:rsid w:val="00343DFB"/>
    <w:rsid w:val="00345EA1"/>
    <w:rsid w:val="00345EFE"/>
    <w:rsid w:val="00362E7E"/>
    <w:rsid w:val="00363AEC"/>
    <w:rsid w:val="00367BE9"/>
    <w:rsid w:val="003722F1"/>
    <w:rsid w:val="003730B5"/>
    <w:rsid w:val="00377379"/>
    <w:rsid w:val="003815F7"/>
    <w:rsid w:val="003820C6"/>
    <w:rsid w:val="003825FB"/>
    <w:rsid w:val="00386D1C"/>
    <w:rsid w:val="00392A2B"/>
    <w:rsid w:val="00396254"/>
    <w:rsid w:val="00397379"/>
    <w:rsid w:val="003A0024"/>
    <w:rsid w:val="003A1BE1"/>
    <w:rsid w:val="003A30ED"/>
    <w:rsid w:val="003A31E4"/>
    <w:rsid w:val="003A6B28"/>
    <w:rsid w:val="003A7D33"/>
    <w:rsid w:val="003B1EE1"/>
    <w:rsid w:val="003B4B42"/>
    <w:rsid w:val="003B625E"/>
    <w:rsid w:val="003C00ED"/>
    <w:rsid w:val="003C059D"/>
    <w:rsid w:val="003C0B83"/>
    <w:rsid w:val="003C100F"/>
    <w:rsid w:val="003C537A"/>
    <w:rsid w:val="003C5873"/>
    <w:rsid w:val="003D0F96"/>
    <w:rsid w:val="003D2584"/>
    <w:rsid w:val="003D3E46"/>
    <w:rsid w:val="003D6EBE"/>
    <w:rsid w:val="003D7AC9"/>
    <w:rsid w:val="003D7C1F"/>
    <w:rsid w:val="003E007B"/>
    <w:rsid w:val="003E32D4"/>
    <w:rsid w:val="003E513E"/>
    <w:rsid w:val="003E7A91"/>
    <w:rsid w:val="003F0EF4"/>
    <w:rsid w:val="00406B22"/>
    <w:rsid w:val="00413F65"/>
    <w:rsid w:val="00421261"/>
    <w:rsid w:val="00421C57"/>
    <w:rsid w:val="004220D5"/>
    <w:rsid w:val="004226C6"/>
    <w:rsid w:val="0042388B"/>
    <w:rsid w:val="00424DDC"/>
    <w:rsid w:val="00424ECB"/>
    <w:rsid w:val="00427BA8"/>
    <w:rsid w:val="00431B57"/>
    <w:rsid w:val="004405F4"/>
    <w:rsid w:val="00442821"/>
    <w:rsid w:val="004444BD"/>
    <w:rsid w:val="00444DFB"/>
    <w:rsid w:val="00451491"/>
    <w:rsid w:val="00452C03"/>
    <w:rsid w:val="00452CEC"/>
    <w:rsid w:val="004551FE"/>
    <w:rsid w:val="004564C2"/>
    <w:rsid w:val="004602ED"/>
    <w:rsid w:val="00463AE6"/>
    <w:rsid w:val="00463C79"/>
    <w:rsid w:val="00464C2A"/>
    <w:rsid w:val="00473ADA"/>
    <w:rsid w:val="00474F6A"/>
    <w:rsid w:val="00483BE8"/>
    <w:rsid w:val="004874E8"/>
    <w:rsid w:val="00493B2C"/>
    <w:rsid w:val="00497B5B"/>
    <w:rsid w:val="00497BBA"/>
    <w:rsid w:val="004A0974"/>
    <w:rsid w:val="004A2FAA"/>
    <w:rsid w:val="004B1F97"/>
    <w:rsid w:val="004C305B"/>
    <w:rsid w:val="004D095B"/>
    <w:rsid w:val="004D0B25"/>
    <w:rsid w:val="004D4CD0"/>
    <w:rsid w:val="004E009D"/>
    <w:rsid w:val="004E65FB"/>
    <w:rsid w:val="004F0CCF"/>
    <w:rsid w:val="004F3161"/>
    <w:rsid w:val="004F4E4E"/>
    <w:rsid w:val="004F4F9D"/>
    <w:rsid w:val="005024AE"/>
    <w:rsid w:val="005035DC"/>
    <w:rsid w:val="00503E43"/>
    <w:rsid w:val="00506AC4"/>
    <w:rsid w:val="00511027"/>
    <w:rsid w:val="00511963"/>
    <w:rsid w:val="00516236"/>
    <w:rsid w:val="00516DF1"/>
    <w:rsid w:val="005211AD"/>
    <w:rsid w:val="00525731"/>
    <w:rsid w:val="005259D4"/>
    <w:rsid w:val="00530049"/>
    <w:rsid w:val="005318FB"/>
    <w:rsid w:val="00537F57"/>
    <w:rsid w:val="005400A8"/>
    <w:rsid w:val="00542AB9"/>
    <w:rsid w:val="00543227"/>
    <w:rsid w:val="00543C7D"/>
    <w:rsid w:val="0054533D"/>
    <w:rsid w:val="0054622E"/>
    <w:rsid w:val="005466A0"/>
    <w:rsid w:val="00546C3E"/>
    <w:rsid w:val="00547C7B"/>
    <w:rsid w:val="00550EDD"/>
    <w:rsid w:val="00555BD2"/>
    <w:rsid w:val="00556141"/>
    <w:rsid w:val="005562FB"/>
    <w:rsid w:val="00556F31"/>
    <w:rsid w:val="005630DE"/>
    <w:rsid w:val="0056735A"/>
    <w:rsid w:val="00567DB3"/>
    <w:rsid w:val="0057501E"/>
    <w:rsid w:val="005751C0"/>
    <w:rsid w:val="005756E0"/>
    <w:rsid w:val="005761F7"/>
    <w:rsid w:val="00580E31"/>
    <w:rsid w:val="00581166"/>
    <w:rsid w:val="005844AC"/>
    <w:rsid w:val="00584F30"/>
    <w:rsid w:val="00586BFF"/>
    <w:rsid w:val="00590A8E"/>
    <w:rsid w:val="00591BC2"/>
    <w:rsid w:val="00592A6A"/>
    <w:rsid w:val="00592D55"/>
    <w:rsid w:val="00593D89"/>
    <w:rsid w:val="00595B42"/>
    <w:rsid w:val="00597675"/>
    <w:rsid w:val="005A05EC"/>
    <w:rsid w:val="005A0CD9"/>
    <w:rsid w:val="005A0D8B"/>
    <w:rsid w:val="005A386A"/>
    <w:rsid w:val="005A3A89"/>
    <w:rsid w:val="005A6A15"/>
    <w:rsid w:val="005A715C"/>
    <w:rsid w:val="005B1F3C"/>
    <w:rsid w:val="005B491F"/>
    <w:rsid w:val="005B7E7A"/>
    <w:rsid w:val="005C1B8A"/>
    <w:rsid w:val="005C1BB0"/>
    <w:rsid w:val="005C3F6D"/>
    <w:rsid w:val="005C5277"/>
    <w:rsid w:val="005D47C0"/>
    <w:rsid w:val="005E1215"/>
    <w:rsid w:val="005E1E6D"/>
    <w:rsid w:val="005E3544"/>
    <w:rsid w:val="005E3B66"/>
    <w:rsid w:val="005F75D4"/>
    <w:rsid w:val="0060118B"/>
    <w:rsid w:val="0060168F"/>
    <w:rsid w:val="00602BD5"/>
    <w:rsid w:val="006063DC"/>
    <w:rsid w:val="0061189F"/>
    <w:rsid w:val="00612F2F"/>
    <w:rsid w:val="0062227C"/>
    <w:rsid w:val="0062384A"/>
    <w:rsid w:val="00625EF2"/>
    <w:rsid w:val="00626A44"/>
    <w:rsid w:val="006279B8"/>
    <w:rsid w:val="00633BA4"/>
    <w:rsid w:val="006342DF"/>
    <w:rsid w:val="00635850"/>
    <w:rsid w:val="00635F5E"/>
    <w:rsid w:val="006361E2"/>
    <w:rsid w:val="00641FC9"/>
    <w:rsid w:val="00644B5E"/>
    <w:rsid w:val="00645B10"/>
    <w:rsid w:val="00646581"/>
    <w:rsid w:val="0065220E"/>
    <w:rsid w:val="006522A9"/>
    <w:rsid w:val="00653EDA"/>
    <w:rsid w:val="00661C38"/>
    <w:rsid w:val="00661EF5"/>
    <w:rsid w:val="00664663"/>
    <w:rsid w:val="006652F9"/>
    <w:rsid w:val="00666779"/>
    <w:rsid w:val="00680EC2"/>
    <w:rsid w:val="0068193A"/>
    <w:rsid w:val="00681DC4"/>
    <w:rsid w:val="006851CC"/>
    <w:rsid w:val="006858B8"/>
    <w:rsid w:val="0069115A"/>
    <w:rsid w:val="006916D3"/>
    <w:rsid w:val="00693168"/>
    <w:rsid w:val="00695CB2"/>
    <w:rsid w:val="006A31B6"/>
    <w:rsid w:val="006A4D38"/>
    <w:rsid w:val="006A7635"/>
    <w:rsid w:val="006B5056"/>
    <w:rsid w:val="006B6F2B"/>
    <w:rsid w:val="006B7BC6"/>
    <w:rsid w:val="006C71EA"/>
    <w:rsid w:val="006C74AB"/>
    <w:rsid w:val="006D1115"/>
    <w:rsid w:val="006D18FE"/>
    <w:rsid w:val="006D79D5"/>
    <w:rsid w:val="006D7D0E"/>
    <w:rsid w:val="006E0485"/>
    <w:rsid w:val="006E0AD4"/>
    <w:rsid w:val="006E0C59"/>
    <w:rsid w:val="006E213E"/>
    <w:rsid w:val="006E4AFE"/>
    <w:rsid w:val="006E6088"/>
    <w:rsid w:val="006F0EB6"/>
    <w:rsid w:val="006F58F5"/>
    <w:rsid w:val="006F6BFD"/>
    <w:rsid w:val="006F78FC"/>
    <w:rsid w:val="0070195C"/>
    <w:rsid w:val="00702B00"/>
    <w:rsid w:val="00703691"/>
    <w:rsid w:val="00704478"/>
    <w:rsid w:val="0070461F"/>
    <w:rsid w:val="00710145"/>
    <w:rsid w:val="0072095F"/>
    <w:rsid w:val="007228BB"/>
    <w:rsid w:val="00724B28"/>
    <w:rsid w:val="00725702"/>
    <w:rsid w:val="0072590A"/>
    <w:rsid w:val="00726B74"/>
    <w:rsid w:val="00727A29"/>
    <w:rsid w:val="00727BA5"/>
    <w:rsid w:val="00730B3C"/>
    <w:rsid w:val="00733B56"/>
    <w:rsid w:val="00733EAB"/>
    <w:rsid w:val="00735A2D"/>
    <w:rsid w:val="00735E51"/>
    <w:rsid w:val="00743E61"/>
    <w:rsid w:val="00744193"/>
    <w:rsid w:val="00750FE2"/>
    <w:rsid w:val="007533C4"/>
    <w:rsid w:val="00755465"/>
    <w:rsid w:val="00755C37"/>
    <w:rsid w:val="0075796B"/>
    <w:rsid w:val="0076064F"/>
    <w:rsid w:val="00761073"/>
    <w:rsid w:val="00761AF0"/>
    <w:rsid w:val="00762153"/>
    <w:rsid w:val="007621E3"/>
    <w:rsid w:val="007633FA"/>
    <w:rsid w:val="00764524"/>
    <w:rsid w:val="00770B81"/>
    <w:rsid w:val="007717AB"/>
    <w:rsid w:val="00775CF1"/>
    <w:rsid w:val="00785292"/>
    <w:rsid w:val="00790503"/>
    <w:rsid w:val="007929A2"/>
    <w:rsid w:val="007931FB"/>
    <w:rsid w:val="007937C3"/>
    <w:rsid w:val="00794B82"/>
    <w:rsid w:val="007A09CB"/>
    <w:rsid w:val="007B1134"/>
    <w:rsid w:val="007B25FB"/>
    <w:rsid w:val="007B42BB"/>
    <w:rsid w:val="007B7527"/>
    <w:rsid w:val="007C1B73"/>
    <w:rsid w:val="007D12F9"/>
    <w:rsid w:val="007D22BB"/>
    <w:rsid w:val="007D335F"/>
    <w:rsid w:val="007E2040"/>
    <w:rsid w:val="007E55A7"/>
    <w:rsid w:val="007E6D3D"/>
    <w:rsid w:val="007F0699"/>
    <w:rsid w:val="007F0E70"/>
    <w:rsid w:val="007F4131"/>
    <w:rsid w:val="007F7325"/>
    <w:rsid w:val="00800F69"/>
    <w:rsid w:val="008025C3"/>
    <w:rsid w:val="00806290"/>
    <w:rsid w:val="0081148C"/>
    <w:rsid w:val="00813296"/>
    <w:rsid w:val="00813A31"/>
    <w:rsid w:val="008153B7"/>
    <w:rsid w:val="008179D6"/>
    <w:rsid w:val="00827D49"/>
    <w:rsid w:val="0083334E"/>
    <w:rsid w:val="00836542"/>
    <w:rsid w:val="0083793E"/>
    <w:rsid w:val="00842CA3"/>
    <w:rsid w:val="00843304"/>
    <w:rsid w:val="008447C8"/>
    <w:rsid w:val="00851C35"/>
    <w:rsid w:val="008554DD"/>
    <w:rsid w:val="00860DA0"/>
    <w:rsid w:val="0087066D"/>
    <w:rsid w:val="00872181"/>
    <w:rsid w:val="0087782B"/>
    <w:rsid w:val="00881108"/>
    <w:rsid w:val="00881BC8"/>
    <w:rsid w:val="00884A4D"/>
    <w:rsid w:val="00885D85"/>
    <w:rsid w:val="0088619E"/>
    <w:rsid w:val="00892BED"/>
    <w:rsid w:val="00892EC6"/>
    <w:rsid w:val="008A1807"/>
    <w:rsid w:val="008A784F"/>
    <w:rsid w:val="008B63A1"/>
    <w:rsid w:val="008B7573"/>
    <w:rsid w:val="008C0F3B"/>
    <w:rsid w:val="008C2CFF"/>
    <w:rsid w:val="008C3566"/>
    <w:rsid w:val="008C48A4"/>
    <w:rsid w:val="008C490D"/>
    <w:rsid w:val="008C720B"/>
    <w:rsid w:val="008D5578"/>
    <w:rsid w:val="008E2816"/>
    <w:rsid w:val="008E3A52"/>
    <w:rsid w:val="008E56D4"/>
    <w:rsid w:val="008E7C8D"/>
    <w:rsid w:val="008E7ED3"/>
    <w:rsid w:val="008F2726"/>
    <w:rsid w:val="008F3E8F"/>
    <w:rsid w:val="008F7495"/>
    <w:rsid w:val="00901799"/>
    <w:rsid w:val="009026C4"/>
    <w:rsid w:val="009054F7"/>
    <w:rsid w:val="00905616"/>
    <w:rsid w:val="00906F11"/>
    <w:rsid w:val="00910092"/>
    <w:rsid w:val="009107E6"/>
    <w:rsid w:val="009108BC"/>
    <w:rsid w:val="009143A7"/>
    <w:rsid w:val="00922E62"/>
    <w:rsid w:val="0092545B"/>
    <w:rsid w:val="009270F4"/>
    <w:rsid w:val="00927FD0"/>
    <w:rsid w:val="00930A72"/>
    <w:rsid w:val="00933961"/>
    <w:rsid w:val="0093540D"/>
    <w:rsid w:val="00935A25"/>
    <w:rsid w:val="00940A08"/>
    <w:rsid w:val="00942029"/>
    <w:rsid w:val="00942702"/>
    <w:rsid w:val="00945032"/>
    <w:rsid w:val="0094513D"/>
    <w:rsid w:val="0094727B"/>
    <w:rsid w:val="00951A32"/>
    <w:rsid w:val="00954AC8"/>
    <w:rsid w:val="00961927"/>
    <w:rsid w:val="0096490A"/>
    <w:rsid w:val="00965763"/>
    <w:rsid w:val="0096674B"/>
    <w:rsid w:val="00971E0B"/>
    <w:rsid w:val="00972F45"/>
    <w:rsid w:val="00973785"/>
    <w:rsid w:val="0097518B"/>
    <w:rsid w:val="00975B1B"/>
    <w:rsid w:val="00981B86"/>
    <w:rsid w:val="00982719"/>
    <w:rsid w:val="00982BBC"/>
    <w:rsid w:val="009846A2"/>
    <w:rsid w:val="00984D2F"/>
    <w:rsid w:val="0098582D"/>
    <w:rsid w:val="00985E4E"/>
    <w:rsid w:val="00991CB6"/>
    <w:rsid w:val="009934F2"/>
    <w:rsid w:val="00993DF6"/>
    <w:rsid w:val="009945A3"/>
    <w:rsid w:val="009959BE"/>
    <w:rsid w:val="00995E56"/>
    <w:rsid w:val="00997338"/>
    <w:rsid w:val="009A20F2"/>
    <w:rsid w:val="009A50CB"/>
    <w:rsid w:val="009A78C6"/>
    <w:rsid w:val="009B1775"/>
    <w:rsid w:val="009B3F2A"/>
    <w:rsid w:val="009B6276"/>
    <w:rsid w:val="009B7F4F"/>
    <w:rsid w:val="009C13D6"/>
    <w:rsid w:val="009C1A52"/>
    <w:rsid w:val="009C27A7"/>
    <w:rsid w:val="009C3D01"/>
    <w:rsid w:val="009D2F51"/>
    <w:rsid w:val="009D34CB"/>
    <w:rsid w:val="009E3F49"/>
    <w:rsid w:val="009E62BF"/>
    <w:rsid w:val="009E6E5D"/>
    <w:rsid w:val="009F0AD5"/>
    <w:rsid w:val="009F3FCE"/>
    <w:rsid w:val="009F4468"/>
    <w:rsid w:val="00A01167"/>
    <w:rsid w:val="00A02D52"/>
    <w:rsid w:val="00A0433A"/>
    <w:rsid w:val="00A10A23"/>
    <w:rsid w:val="00A112CB"/>
    <w:rsid w:val="00A14EB6"/>
    <w:rsid w:val="00A15909"/>
    <w:rsid w:val="00A1711F"/>
    <w:rsid w:val="00A21040"/>
    <w:rsid w:val="00A228F2"/>
    <w:rsid w:val="00A23BC2"/>
    <w:rsid w:val="00A2687D"/>
    <w:rsid w:val="00A274B3"/>
    <w:rsid w:val="00A30C72"/>
    <w:rsid w:val="00A346F4"/>
    <w:rsid w:val="00A35BC0"/>
    <w:rsid w:val="00A40AC3"/>
    <w:rsid w:val="00A469B7"/>
    <w:rsid w:val="00A46A68"/>
    <w:rsid w:val="00A505E1"/>
    <w:rsid w:val="00A50747"/>
    <w:rsid w:val="00A5257F"/>
    <w:rsid w:val="00A534A4"/>
    <w:rsid w:val="00A55D7F"/>
    <w:rsid w:val="00A61194"/>
    <w:rsid w:val="00A65834"/>
    <w:rsid w:val="00A668C3"/>
    <w:rsid w:val="00A718BA"/>
    <w:rsid w:val="00A71B83"/>
    <w:rsid w:val="00A74872"/>
    <w:rsid w:val="00A75F9A"/>
    <w:rsid w:val="00A812B3"/>
    <w:rsid w:val="00A81CA2"/>
    <w:rsid w:val="00A83793"/>
    <w:rsid w:val="00A87D43"/>
    <w:rsid w:val="00A90F7F"/>
    <w:rsid w:val="00A974A1"/>
    <w:rsid w:val="00A97980"/>
    <w:rsid w:val="00AA1139"/>
    <w:rsid w:val="00AA3E1C"/>
    <w:rsid w:val="00AA465F"/>
    <w:rsid w:val="00AA4F10"/>
    <w:rsid w:val="00AA6E2D"/>
    <w:rsid w:val="00AB652E"/>
    <w:rsid w:val="00AC2FA8"/>
    <w:rsid w:val="00AC5E93"/>
    <w:rsid w:val="00AC6F4B"/>
    <w:rsid w:val="00AD065A"/>
    <w:rsid w:val="00AD0A99"/>
    <w:rsid w:val="00AD6B72"/>
    <w:rsid w:val="00AD736D"/>
    <w:rsid w:val="00AE196D"/>
    <w:rsid w:val="00AE2AA1"/>
    <w:rsid w:val="00AE323D"/>
    <w:rsid w:val="00AF147E"/>
    <w:rsid w:val="00AF1994"/>
    <w:rsid w:val="00AF21B5"/>
    <w:rsid w:val="00AF223C"/>
    <w:rsid w:val="00AF6700"/>
    <w:rsid w:val="00AF6955"/>
    <w:rsid w:val="00AF6C52"/>
    <w:rsid w:val="00AF7FF9"/>
    <w:rsid w:val="00B009B1"/>
    <w:rsid w:val="00B01169"/>
    <w:rsid w:val="00B014A7"/>
    <w:rsid w:val="00B037EE"/>
    <w:rsid w:val="00B046C8"/>
    <w:rsid w:val="00B10FB5"/>
    <w:rsid w:val="00B136C3"/>
    <w:rsid w:val="00B2046A"/>
    <w:rsid w:val="00B22D7A"/>
    <w:rsid w:val="00B249A9"/>
    <w:rsid w:val="00B259E6"/>
    <w:rsid w:val="00B32593"/>
    <w:rsid w:val="00B35592"/>
    <w:rsid w:val="00B3661E"/>
    <w:rsid w:val="00B36ED7"/>
    <w:rsid w:val="00B37CDC"/>
    <w:rsid w:val="00B466B5"/>
    <w:rsid w:val="00B5040E"/>
    <w:rsid w:val="00B552AC"/>
    <w:rsid w:val="00B61A97"/>
    <w:rsid w:val="00B61AEC"/>
    <w:rsid w:val="00B6350A"/>
    <w:rsid w:val="00B63933"/>
    <w:rsid w:val="00B64B1C"/>
    <w:rsid w:val="00B65C95"/>
    <w:rsid w:val="00B667A1"/>
    <w:rsid w:val="00B672D0"/>
    <w:rsid w:val="00B67745"/>
    <w:rsid w:val="00B703D9"/>
    <w:rsid w:val="00B71BF8"/>
    <w:rsid w:val="00B73BB3"/>
    <w:rsid w:val="00B75D72"/>
    <w:rsid w:val="00B77896"/>
    <w:rsid w:val="00B8254A"/>
    <w:rsid w:val="00B84DCD"/>
    <w:rsid w:val="00B8500F"/>
    <w:rsid w:val="00B859B9"/>
    <w:rsid w:val="00B86FDC"/>
    <w:rsid w:val="00B87F76"/>
    <w:rsid w:val="00B917A9"/>
    <w:rsid w:val="00B93FD6"/>
    <w:rsid w:val="00B96D82"/>
    <w:rsid w:val="00BA034C"/>
    <w:rsid w:val="00BA0A59"/>
    <w:rsid w:val="00BA7102"/>
    <w:rsid w:val="00BB0F97"/>
    <w:rsid w:val="00BB2DE2"/>
    <w:rsid w:val="00BB3622"/>
    <w:rsid w:val="00BB439F"/>
    <w:rsid w:val="00BB69DC"/>
    <w:rsid w:val="00BB6ACD"/>
    <w:rsid w:val="00BB742A"/>
    <w:rsid w:val="00BC0881"/>
    <w:rsid w:val="00BC1FD4"/>
    <w:rsid w:val="00BC5DEB"/>
    <w:rsid w:val="00BC7051"/>
    <w:rsid w:val="00BC7441"/>
    <w:rsid w:val="00BD1E0B"/>
    <w:rsid w:val="00BD45C5"/>
    <w:rsid w:val="00BE07F4"/>
    <w:rsid w:val="00BE326C"/>
    <w:rsid w:val="00BE655D"/>
    <w:rsid w:val="00BE6CD3"/>
    <w:rsid w:val="00BE7910"/>
    <w:rsid w:val="00BE7BF9"/>
    <w:rsid w:val="00BF454C"/>
    <w:rsid w:val="00BF5668"/>
    <w:rsid w:val="00C001CC"/>
    <w:rsid w:val="00C0327C"/>
    <w:rsid w:val="00C04621"/>
    <w:rsid w:val="00C0746C"/>
    <w:rsid w:val="00C20882"/>
    <w:rsid w:val="00C20B1D"/>
    <w:rsid w:val="00C215EB"/>
    <w:rsid w:val="00C238F7"/>
    <w:rsid w:val="00C255CE"/>
    <w:rsid w:val="00C25717"/>
    <w:rsid w:val="00C2655E"/>
    <w:rsid w:val="00C27B2C"/>
    <w:rsid w:val="00C27D24"/>
    <w:rsid w:val="00C36B0F"/>
    <w:rsid w:val="00C37D6B"/>
    <w:rsid w:val="00C41EEB"/>
    <w:rsid w:val="00C41F13"/>
    <w:rsid w:val="00C441D3"/>
    <w:rsid w:val="00C45A21"/>
    <w:rsid w:val="00C47BFD"/>
    <w:rsid w:val="00C50D78"/>
    <w:rsid w:val="00C549C2"/>
    <w:rsid w:val="00C5585A"/>
    <w:rsid w:val="00C55CAE"/>
    <w:rsid w:val="00C5672F"/>
    <w:rsid w:val="00C57E53"/>
    <w:rsid w:val="00C63C66"/>
    <w:rsid w:val="00C64094"/>
    <w:rsid w:val="00C64D70"/>
    <w:rsid w:val="00C6571F"/>
    <w:rsid w:val="00C72247"/>
    <w:rsid w:val="00C778BE"/>
    <w:rsid w:val="00C77DF7"/>
    <w:rsid w:val="00C80308"/>
    <w:rsid w:val="00C919B9"/>
    <w:rsid w:val="00C92DDC"/>
    <w:rsid w:val="00C97DF9"/>
    <w:rsid w:val="00CA0326"/>
    <w:rsid w:val="00CA0BED"/>
    <w:rsid w:val="00CA15E6"/>
    <w:rsid w:val="00CA5455"/>
    <w:rsid w:val="00CA7C2E"/>
    <w:rsid w:val="00CB47B6"/>
    <w:rsid w:val="00CB5642"/>
    <w:rsid w:val="00CB56CF"/>
    <w:rsid w:val="00CC036A"/>
    <w:rsid w:val="00CC1D39"/>
    <w:rsid w:val="00CC3205"/>
    <w:rsid w:val="00CC5C5E"/>
    <w:rsid w:val="00CC74D5"/>
    <w:rsid w:val="00CD0912"/>
    <w:rsid w:val="00CD23F2"/>
    <w:rsid w:val="00CD4868"/>
    <w:rsid w:val="00CE0604"/>
    <w:rsid w:val="00CE168F"/>
    <w:rsid w:val="00CE5DD4"/>
    <w:rsid w:val="00CF023E"/>
    <w:rsid w:val="00CF08A4"/>
    <w:rsid w:val="00CF1254"/>
    <w:rsid w:val="00D00603"/>
    <w:rsid w:val="00D00882"/>
    <w:rsid w:val="00D043C1"/>
    <w:rsid w:val="00D064C0"/>
    <w:rsid w:val="00D13292"/>
    <w:rsid w:val="00D13819"/>
    <w:rsid w:val="00D16395"/>
    <w:rsid w:val="00D163FA"/>
    <w:rsid w:val="00D16DB5"/>
    <w:rsid w:val="00D208B7"/>
    <w:rsid w:val="00D20D27"/>
    <w:rsid w:val="00D2429E"/>
    <w:rsid w:val="00D245EC"/>
    <w:rsid w:val="00D31E6D"/>
    <w:rsid w:val="00D323BB"/>
    <w:rsid w:val="00D328E9"/>
    <w:rsid w:val="00D36BFE"/>
    <w:rsid w:val="00D41362"/>
    <w:rsid w:val="00D51F6C"/>
    <w:rsid w:val="00D61380"/>
    <w:rsid w:val="00D63332"/>
    <w:rsid w:val="00D66F28"/>
    <w:rsid w:val="00D6774E"/>
    <w:rsid w:val="00D71AB3"/>
    <w:rsid w:val="00D72204"/>
    <w:rsid w:val="00D72638"/>
    <w:rsid w:val="00D74C5F"/>
    <w:rsid w:val="00D7574A"/>
    <w:rsid w:val="00D7775B"/>
    <w:rsid w:val="00D80B10"/>
    <w:rsid w:val="00D8485F"/>
    <w:rsid w:val="00D850B3"/>
    <w:rsid w:val="00D9087F"/>
    <w:rsid w:val="00D92D5A"/>
    <w:rsid w:val="00DA03A1"/>
    <w:rsid w:val="00DA2353"/>
    <w:rsid w:val="00DA2841"/>
    <w:rsid w:val="00DA36F6"/>
    <w:rsid w:val="00DA3AC1"/>
    <w:rsid w:val="00DA46A0"/>
    <w:rsid w:val="00DA5313"/>
    <w:rsid w:val="00DA5F69"/>
    <w:rsid w:val="00DB3671"/>
    <w:rsid w:val="00DB36E7"/>
    <w:rsid w:val="00DB4B45"/>
    <w:rsid w:val="00DB5318"/>
    <w:rsid w:val="00DB579B"/>
    <w:rsid w:val="00DB7BFE"/>
    <w:rsid w:val="00DC0703"/>
    <w:rsid w:val="00DC217B"/>
    <w:rsid w:val="00DC35D6"/>
    <w:rsid w:val="00DC5CE4"/>
    <w:rsid w:val="00DD27BF"/>
    <w:rsid w:val="00DD31C2"/>
    <w:rsid w:val="00DD48C7"/>
    <w:rsid w:val="00DE3E5A"/>
    <w:rsid w:val="00DE5197"/>
    <w:rsid w:val="00DE799E"/>
    <w:rsid w:val="00DF14D9"/>
    <w:rsid w:val="00DF53BD"/>
    <w:rsid w:val="00DF725E"/>
    <w:rsid w:val="00E016D6"/>
    <w:rsid w:val="00E02280"/>
    <w:rsid w:val="00E05EDA"/>
    <w:rsid w:val="00E07B8D"/>
    <w:rsid w:val="00E11BDC"/>
    <w:rsid w:val="00E11DCF"/>
    <w:rsid w:val="00E12F80"/>
    <w:rsid w:val="00E15FC9"/>
    <w:rsid w:val="00E22B04"/>
    <w:rsid w:val="00E25479"/>
    <w:rsid w:val="00E261AF"/>
    <w:rsid w:val="00E26428"/>
    <w:rsid w:val="00E26E38"/>
    <w:rsid w:val="00E310B4"/>
    <w:rsid w:val="00E32FF1"/>
    <w:rsid w:val="00E3504C"/>
    <w:rsid w:val="00E369DA"/>
    <w:rsid w:val="00E36E2E"/>
    <w:rsid w:val="00E37C73"/>
    <w:rsid w:val="00E4085A"/>
    <w:rsid w:val="00E454E9"/>
    <w:rsid w:val="00E502CE"/>
    <w:rsid w:val="00E5441F"/>
    <w:rsid w:val="00E56C41"/>
    <w:rsid w:val="00E56DC7"/>
    <w:rsid w:val="00E655F0"/>
    <w:rsid w:val="00E67C60"/>
    <w:rsid w:val="00E7075F"/>
    <w:rsid w:val="00E71A82"/>
    <w:rsid w:val="00E748C5"/>
    <w:rsid w:val="00E833FE"/>
    <w:rsid w:val="00E83A86"/>
    <w:rsid w:val="00E848B4"/>
    <w:rsid w:val="00E93D86"/>
    <w:rsid w:val="00EA24E3"/>
    <w:rsid w:val="00EA5F4C"/>
    <w:rsid w:val="00EB2FF2"/>
    <w:rsid w:val="00EB46D7"/>
    <w:rsid w:val="00EB5D51"/>
    <w:rsid w:val="00EC154D"/>
    <w:rsid w:val="00EC1D49"/>
    <w:rsid w:val="00EC3619"/>
    <w:rsid w:val="00EC4CBF"/>
    <w:rsid w:val="00ED0225"/>
    <w:rsid w:val="00ED1EC5"/>
    <w:rsid w:val="00ED3102"/>
    <w:rsid w:val="00ED3733"/>
    <w:rsid w:val="00ED397F"/>
    <w:rsid w:val="00ED796B"/>
    <w:rsid w:val="00EE0EFF"/>
    <w:rsid w:val="00EE16B7"/>
    <w:rsid w:val="00EE344A"/>
    <w:rsid w:val="00EE3DED"/>
    <w:rsid w:val="00EE554F"/>
    <w:rsid w:val="00EE6C6D"/>
    <w:rsid w:val="00EE75FE"/>
    <w:rsid w:val="00EE7AFE"/>
    <w:rsid w:val="00EF34B8"/>
    <w:rsid w:val="00EF3510"/>
    <w:rsid w:val="00EF372D"/>
    <w:rsid w:val="00EF4A05"/>
    <w:rsid w:val="00F0439D"/>
    <w:rsid w:val="00F068D5"/>
    <w:rsid w:val="00F07380"/>
    <w:rsid w:val="00F076BF"/>
    <w:rsid w:val="00F07EDA"/>
    <w:rsid w:val="00F14561"/>
    <w:rsid w:val="00F15A52"/>
    <w:rsid w:val="00F21068"/>
    <w:rsid w:val="00F21276"/>
    <w:rsid w:val="00F30559"/>
    <w:rsid w:val="00F360F3"/>
    <w:rsid w:val="00F36A6F"/>
    <w:rsid w:val="00F411AC"/>
    <w:rsid w:val="00F43529"/>
    <w:rsid w:val="00F435B4"/>
    <w:rsid w:val="00F43E91"/>
    <w:rsid w:val="00F452D5"/>
    <w:rsid w:val="00F4660F"/>
    <w:rsid w:val="00F46CC5"/>
    <w:rsid w:val="00F508F5"/>
    <w:rsid w:val="00F51A52"/>
    <w:rsid w:val="00F53546"/>
    <w:rsid w:val="00F61AA0"/>
    <w:rsid w:val="00F6638A"/>
    <w:rsid w:val="00F676DC"/>
    <w:rsid w:val="00F72467"/>
    <w:rsid w:val="00F7383B"/>
    <w:rsid w:val="00F749BD"/>
    <w:rsid w:val="00F86379"/>
    <w:rsid w:val="00F900B7"/>
    <w:rsid w:val="00F913CB"/>
    <w:rsid w:val="00F91F58"/>
    <w:rsid w:val="00F9322F"/>
    <w:rsid w:val="00FA33CE"/>
    <w:rsid w:val="00FA36CA"/>
    <w:rsid w:val="00FA7022"/>
    <w:rsid w:val="00FA719B"/>
    <w:rsid w:val="00FB388E"/>
    <w:rsid w:val="00FC2059"/>
    <w:rsid w:val="00FC4132"/>
    <w:rsid w:val="00FC5DC1"/>
    <w:rsid w:val="00FC6E3F"/>
    <w:rsid w:val="00FD12A6"/>
    <w:rsid w:val="00FD1D94"/>
    <w:rsid w:val="00FD7F9D"/>
    <w:rsid w:val="00FE261E"/>
    <w:rsid w:val="00FE6572"/>
    <w:rsid w:val="00FE6EA6"/>
    <w:rsid w:val="00FE7D37"/>
    <w:rsid w:val="00FF381C"/>
    <w:rsid w:val="00FF3F9E"/>
    <w:rsid w:val="00FF574D"/>
    <w:rsid w:val="00FF57DB"/>
    <w:rsid w:val="00FF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6932"/>
  <w15:docId w15:val="{C88EDEF1-6E9E-4C84-8E1E-3605385E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500F"/>
    <w:pPr>
      <w:spacing w:before="100" w:beforeAutospacing="1" w:after="100" w:afterAutospacing="1"/>
      <w:jc w:val="left"/>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D24"/>
    <w:pPr>
      <w:ind w:left="720"/>
      <w:contextualSpacing/>
    </w:pPr>
  </w:style>
  <w:style w:type="character" w:customStyle="1" w:styleId="Heading1Char">
    <w:name w:val="Heading 1 Char"/>
    <w:basedOn w:val="DefaultParagraphFont"/>
    <w:link w:val="Heading1"/>
    <w:uiPriority w:val="9"/>
    <w:rsid w:val="00B8500F"/>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3D2584"/>
    <w:rPr>
      <w:color w:val="0000FF" w:themeColor="hyperlink"/>
      <w:u w:val="single"/>
    </w:rPr>
  </w:style>
  <w:style w:type="character" w:styleId="UnresolvedMention">
    <w:name w:val="Unresolved Mention"/>
    <w:basedOn w:val="DefaultParagraphFont"/>
    <w:uiPriority w:val="99"/>
    <w:semiHidden/>
    <w:unhideWhenUsed/>
    <w:rsid w:val="003D2584"/>
    <w:rPr>
      <w:color w:val="605E5C"/>
      <w:shd w:val="clear" w:color="auto" w:fill="E1DFDD"/>
    </w:rPr>
  </w:style>
  <w:style w:type="paragraph" w:styleId="Header">
    <w:name w:val="header"/>
    <w:basedOn w:val="Normal"/>
    <w:link w:val="HeaderChar"/>
    <w:uiPriority w:val="99"/>
    <w:unhideWhenUsed/>
    <w:rsid w:val="00F07380"/>
    <w:pPr>
      <w:tabs>
        <w:tab w:val="center" w:pos="4513"/>
        <w:tab w:val="right" w:pos="9026"/>
      </w:tabs>
    </w:pPr>
  </w:style>
  <w:style w:type="character" w:customStyle="1" w:styleId="HeaderChar">
    <w:name w:val="Header Char"/>
    <w:basedOn w:val="DefaultParagraphFont"/>
    <w:link w:val="Header"/>
    <w:uiPriority w:val="99"/>
    <w:rsid w:val="00F07380"/>
  </w:style>
  <w:style w:type="paragraph" w:styleId="Footer">
    <w:name w:val="footer"/>
    <w:basedOn w:val="Normal"/>
    <w:link w:val="FooterChar"/>
    <w:uiPriority w:val="99"/>
    <w:unhideWhenUsed/>
    <w:rsid w:val="00F07380"/>
    <w:pPr>
      <w:tabs>
        <w:tab w:val="center" w:pos="4513"/>
        <w:tab w:val="right" w:pos="9026"/>
      </w:tabs>
    </w:pPr>
  </w:style>
  <w:style w:type="character" w:customStyle="1" w:styleId="FooterChar">
    <w:name w:val="Footer Char"/>
    <w:basedOn w:val="DefaultParagraphFont"/>
    <w:link w:val="Footer"/>
    <w:uiPriority w:val="99"/>
    <w:rsid w:val="00F07380"/>
  </w:style>
  <w:style w:type="paragraph" w:styleId="NormalWeb">
    <w:name w:val="Normal (Web)"/>
    <w:basedOn w:val="Normal"/>
    <w:uiPriority w:val="99"/>
    <w:semiHidden/>
    <w:unhideWhenUsed/>
    <w:rsid w:val="00226D27"/>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6D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9376">
      <w:bodyDiv w:val="1"/>
      <w:marLeft w:val="0"/>
      <w:marRight w:val="0"/>
      <w:marTop w:val="0"/>
      <w:marBottom w:val="0"/>
      <w:divBdr>
        <w:top w:val="none" w:sz="0" w:space="0" w:color="auto"/>
        <w:left w:val="none" w:sz="0" w:space="0" w:color="auto"/>
        <w:bottom w:val="none" w:sz="0" w:space="0" w:color="auto"/>
        <w:right w:val="none" w:sz="0" w:space="0" w:color="auto"/>
      </w:divBdr>
    </w:div>
    <w:div w:id="543097853">
      <w:bodyDiv w:val="1"/>
      <w:marLeft w:val="0"/>
      <w:marRight w:val="0"/>
      <w:marTop w:val="0"/>
      <w:marBottom w:val="0"/>
      <w:divBdr>
        <w:top w:val="none" w:sz="0" w:space="0" w:color="auto"/>
        <w:left w:val="none" w:sz="0" w:space="0" w:color="auto"/>
        <w:bottom w:val="none" w:sz="0" w:space="0" w:color="auto"/>
        <w:right w:val="none" w:sz="0" w:space="0" w:color="auto"/>
      </w:divBdr>
    </w:div>
    <w:div w:id="683243653">
      <w:bodyDiv w:val="1"/>
      <w:marLeft w:val="0"/>
      <w:marRight w:val="0"/>
      <w:marTop w:val="0"/>
      <w:marBottom w:val="0"/>
      <w:divBdr>
        <w:top w:val="none" w:sz="0" w:space="0" w:color="auto"/>
        <w:left w:val="none" w:sz="0" w:space="0" w:color="auto"/>
        <w:bottom w:val="none" w:sz="0" w:space="0" w:color="auto"/>
        <w:right w:val="none" w:sz="0" w:space="0" w:color="auto"/>
      </w:divBdr>
    </w:div>
    <w:div w:id="1044403277">
      <w:bodyDiv w:val="1"/>
      <w:marLeft w:val="0"/>
      <w:marRight w:val="0"/>
      <w:marTop w:val="0"/>
      <w:marBottom w:val="0"/>
      <w:divBdr>
        <w:top w:val="none" w:sz="0" w:space="0" w:color="auto"/>
        <w:left w:val="none" w:sz="0" w:space="0" w:color="auto"/>
        <w:bottom w:val="none" w:sz="0" w:space="0" w:color="auto"/>
        <w:right w:val="none" w:sz="0" w:space="0" w:color="auto"/>
      </w:divBdr>
    </w:div>
    <w:div w:id="1112625252">
      <w:bodyDiv w:val="1"/>
      <w:marLeft w:val="0"/>
      <w:marRight w:val="0"/>
      <w:marTop w:val="0"/>
      <w:marBottom w:val="0"/>
      <w:divBdr>
        <w:top w:val="none" w:sz="0" w:space="0" w:color="auto"/>
        <w:left w:val="none" w:sz="0" w:space="0" w:color="auto"/>
        <w:bottom w:val="none" w:sz="0" w:space="0" w:color="auto"/>
        <w:right w:val="none" w:sz="0" w:space="0" w:color="auto"/>
      </w:divBdr>
    </w:div>
    <w:div w:id="1621061341">
      <w:bodyDiv w:val="1"/>
      <w:marLeft w:val="0"/>
      <w:marRight w:val="0"/>
      <w:marTop w:val="0"/>
      <w:marBottom w:val="0"/>
      <w:divBdr>
        <w:top w:val="none" w:sz="0" w:space="0" w:color="auto"/>
        <w:left w:val="none" w:sz="0" w:space="0" w:color="auto"/>
        <w:bottom w:val="none" w:sz="0" w:space="0" w:color="auto"/>
        <w:right w:val="none" w:sz="0" w:space="0" w:color="auto"/>
      </w:divBdr>
    </w:div>
    <w:div w:id="194152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inchester.gov.uk/planning-policy/winchester-district-local-plan-2018-2038-emerg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ickhamknowleparish.gov.uk/the-council/neighbourhoo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2387</Words>
  <Characters>12418</Characters>
  <Application>Microsoft Office Word</Application>
  <DocSecurity>0</DocSecurity>
  <Lines>413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Greenish</dc:creator>
  <cp:keywords/>
  <dc:description/>
  <cp:lastModifiedBy>Wendy Greenish</cp:lastModifiedBy>
  <cp:revision>6</cp:revision>
  <cp:lastPrinted>2026-04-12T11:00:00Z</cp:lastPrinted>
  <dcterms:created xsi:type="dcterms:W3CDTF">2026-04-21T09:53:00Z</dcterms:created>
  <dcterms:modified xsi:type="dcterms:W3CDTF">2026-04-21T19:38:00Z</dcterms:modified>
</cp:coreProperties>
</file>